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6A7" w:rsidRPr="008256A7" w:rsidRDefault="008256A7" w:rsidP="00F4158D">
      <w:pPr>
        <w:spacing w:line="276" w:lineRule="auto"/>
        <w:rPr>
          <w:rFonts w:asciiTheme="majorHAnsi" w:hAnsiTheme="majorHAnsi" w:cstheme="majorHAnsi"/>
          <w:color w:val="0070C0"/>
          <w:sz w:val="26"/>
          <w:szCs w:val="26"/>
        </w:rPr>
      </w:pPr>
      <w:r w:rsidRPr="00E97D41">
        <w:rPr>
          <w:rFonts w:asciiTheme="majorHAnsi" w:hAnsiTheme="majorHAnsi" w:cstheme="majorHAnsi"/>
          <w:color w:val="0070C0"/>
          <w:sz w:val="26"/>
          <w:szCs w:val="26"/>
        </w:rPr>
        <w:t>Supplementary Tables</w:t>
      </w:r>
    </w:p>
    <w:p w:rsidR="00F4158D" w:rsidRPr="00FD738C" w:rsidRDefault="00F4158D" w:rsidP="00F4158D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Supplementary </w:t>
      </w:r>
      <w:r w:rsidRPr="00FD738C">
        <w:rPr>
          <w:rFonts w:cstheme="minorHAnsi"/>
          <w:sz w:val="22"/>
          <w:szCs w:val="22"/>
        </w:rPr>
        <w:t>Table 1</w:t>
      </w:r>
      <w:r>
        <w:rPr>
          <w:rFonts w:cstheme="minorHAnsi"/>
          <w:sz w:val="22"/>
          <w:szCs w:val="22"/>
        </w:rPr>
        <w:t xml:space="preserve">: Full cohort demographics (N = 857), inclusive of missing data. </w:t>
      </w:r>
      <w:r w:rsidRPr="00FD738C">
        <w:rPr>
          <w:rFonts w:cstheme="minorHAnsi"/>
          <w:sz w:val="22"/>
          <w:szCs w:val="22"/>
        </w:rPr>
        <w:t>DBD – donation following brainstem death; DCD – donation following circulatory death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1806"/>
        <w:gridCol w:w="1806"/>
        <w:gridCol w:w="1806"/>
      </w:tblGrid>
      <w:tr w:rsidR="00F4158D" w:rsidRPr="001A4AD0" w:rsidTr="000D5D6E">
        <w:trPr>
          <w:tblHeader/>
        </w:trPr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Times New Roman" w:eastAsia="Times New Roman" w:hAnsi="Times New Roman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DBD</w:t>
            </w: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br/>
              <w:t>(N=619)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DCD</w:t>
            </w:r>
          </w:p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(N=238)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Overall</w:t>
            </w: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br/>
              <w:t>(N=857)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Recipient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42.6 (8.77)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41.2 (8.90)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42.3 (8.82)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42.0 [21.0, 64.0]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42.0 [20.0, 61.0]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42.0 [20.0, 64.0]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Recipient 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267 (43.1%)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92 (38.7%)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359 (41.9%)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352 (56.9%)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146 (61.3%)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498 (58.1%)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Recipient 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515 (83.2%)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205 (86.1%)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720 (84.0%)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Non-White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97 (15.7%)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32 (13.4%)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129 (15.1%)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 (1.1%)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 (0.4%)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 (0.9%)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Recipient 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25.0 (3.57)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25.5 (3.66)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25.1 (3.60)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24.6 [17.7, 36.5]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25.1 [18.4, 36.9]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24.8 [17.7, 36.9]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84 (13.6%)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39 (16.4%)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123 (14.4%)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Recipient Dialysis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Haemodialysis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238 (38.4%)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70 (29.4%)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308 (35.9%)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Peritoneal Dialysis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151 (24.4%)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63 (26.5%)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214 (25.0%)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Not on Dialysis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230 (37.2%)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105 (44.1%)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335 (39.1%)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Type of Recipient 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Type 1 Diabetes Mellitus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488 (78.8%)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179 (75.2%)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667 (77.8%)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Type 2 Diabetes Mellitus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22 (3.6%)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 (4.2%)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32 (3.7%)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109 (17.6%)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49 (20.6%)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158 (18.4%)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Transplant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103 (16.6%)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44 (18.5%)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147 (17.2%)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124 (20.0%)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48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172 (20.1%)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126 (20.4%)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48 (20.2%)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174 (20.3%)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112 (18.1%)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45 (18.9%)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157 (18.3%)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74 (12.0%)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 (9.7%)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97 (11.3%)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80 (12.9%)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30 (12.6%)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110 (12.8%)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Donor 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316 (51.1%)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96 (40.3%)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412 (48.1%)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303 (49.0%)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142 (59.7%)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445 (51.9%)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Donor 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34.9 (13.5)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31.0 (13.1)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33.8 (13.5)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35.0 [10.0, 63.0]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29.0 [4.00, 54.0]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34.0 [4.00, 63.0]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lastRenderedPageBreak/>
              <w:t>Donor BMI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23.4 (3.31)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22.6 (3.64)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23.2 (3.43)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23.4 [14.5, 38.4]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22.6 [11.3, 36.2]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23.1 [11.3, 38.4]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Donor 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554 (89.5%)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216 (90.8%)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770 (89.8%)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Non-White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53 (8.6%)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74 (8.6%)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 (1.9%)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 (0.4%)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D548FA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D548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13 (1.5%)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Donor Cause of Death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Hypoxic Brain Injury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198 (32.0%)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111 (46.6%)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309 (36.1%)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proofErr w:type="spellStart"/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Intrcranial</w:t>
            </w:r>
            <w:proofErr w:type="spellEnd"/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 xml:space="preserve"> Haemorrhage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284 (45.9%)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61 (25.6%)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345 (40.3%)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proofErr w:type="spellStart"/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Intrcranial</w:t>
            </w:r>
            <w:proofErr w:type="spellEnd"/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 xml:space="preserve"> Thrombosis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27 (4.4%)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 (3.8%)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36 (4.2%)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Trauma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30 (4.8%)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 (10.5%)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55 (6.4%)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55 (8.9%)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17 (7.1%)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72 (8.4%)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25 (4.0%)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 (6.3%)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40 (4.7%)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Cold Ischaemic Time (minutes)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653 (129)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628 (122)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646 (127)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647 [223, 1320]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611 [339, 1060]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634 [223, 1320]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 (3.4%)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 (4.2%)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31 (3.6%)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Warm Ischaemic Time (minutes)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41.0 (59.8)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39.0 (20.2)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40.4 (52.0)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34.0 [0, 759]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36.0 [0, 253]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34.0 [0, 759]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44 (7.1%)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 (8.4%)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64 (7.5%)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Normothermic Regional Perfusion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619 (100%)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211 (88.7%)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830 (96.8%)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0 (0%)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27 (11.3%)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27 (3.2%)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1-year Graft failure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561 (90.6%)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220 (92.4%)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781 (91.1%)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54 (8.7%)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 (6.3%)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69 (8.1%)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 (0.6%)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 (1.3%)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 (0.8%)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3-year Graft failure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547 (88.4%)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214 (89.9%)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761 (88.8%)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68 (11.0%)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21 (8.8%)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89 (10.4%)</w:t>
            </w:r>
          </w:p>
        </w:tc>
      </w:tr>
      <w:tr w:rsidR="00F4158D" w:rsidRPr="001A4AD0" w:rsidTr="000D5D6E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 (0.6%)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 (1.3%)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1A4AD0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1A4AD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 (0.8%)</w:t>
            </w:r>
          </w:p>
        </w:tc>
      </w:tr>
    </w:tbl>
    <w:p w:rsidR="00F4158D" w:rsidRDefault="00F4158D" w:rsidP="00F4158D">
      <w:pPr>
        <w:spacing w:line="276" w:lineRule="auto"/>
        <w:rPr>
          <w:rFonts w:asciiTheme="majorHAnsi" w:hAnsiTheme="majorHAnsi" w:cstheme="majorHAnsi"/>
          <w:color w:val="0070C0"/>
          <w:sz w:val="40"/>
          <w:szCs w:val="40"/>
        </w:rPr>
      </w:pPr>
    </w:p>
    <w:p w:rsidR="00F4158D" w:rsidRDefault="00F4158D" w:rsidP="00F4158D">
      <w:pPr>
        <w:rPr>
          <w:rFonts w:asciiTheme="majorHAnsi" w:hAnsiTheme="majorHAnsi" w:cstheme="majorHAnsi"/>
          <w:color w:val="0070C0"/>
          <w:sz w:val="40"/>
          <w:szCs w:val="40"/>
        </w:rPr>
      </w:pPr>
    </w:p>
    <w:p w:rsidR="00F4158D" w:rsidRDefault="00F4158D" w:rsidP="00F4158D">
      <w:pPr>
        <w:spacing w:line="276" w:lineRule="auto"/>
        <w:rPr>
          <w:rFonts w:cstheme="minorHAnsi"/>
          <w:sz w:val="22"/>
          <w:szCs w:val="22"/>
        </w:rPr>
      </w:pPr>
    </w:p>
    <w:p w:rsidR="00F4158D" w:rsidRDefault="00F4158D" w:rsidP="00F4158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F4158D" w:rsidRPr="00FD738C" w:rsidRDefault="00F4158D" w:rsidP="00F4158D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Supplementary </w:t>
      </w:r>
      <w:r w:rsidRPr="00FD738C">
        <w:rPr>
          <w:rFonts w:cstheme="minorHAnsi"/>
          <w:sz w:val="22"/>
          <w:szCs w:val="22"/>
        </w:rPr>
        <w:t xml:space="preserve">Table </w:t>
      </w:r>
      <w:r>
        <w:rPr>
          <w:rFonts w:cstheme="minorHAnsi"/>
          <w:sz w:val="22"/>
          <w:szCs w:val="22"/>
        </w:rPr>
        <w:t xml:space="preserve">2: Full summary of peak donor serum amylase, liver blood tests, renal function tests and serum lactate, inclusive of missing data. </w:t>
      </w:r>
      <w:r w:rsidRPr="00FD738C">
        <w:rPr>
          <w:rFonts w:cstheme="minorHAnsi"/>
          <w:sz w:val="22"/>
          <w:szCs w:val="22"/>
        </w:rPr>
        <w:t>DBD – donation following brainstem death; DCD – donation following circulatory death</w:t>
      </w:r>
      <w:r>
        <w:rPr>
          <w:rFonts w:cstheme="minorHAnsi"/>
          <w:sz w:val="22"/>
          <w:szCs w:val="22"/>
        </w:rPr>
        <w:t>; ALT –</w:t>
      </w:r>
      <w:r w:rsidRPr="00FD738C">
        <w:rPr>
          <w:rFonts w:cstheme="minorHAnsi"/>
          <w:sz w:val="22"/>
          <w:szCs w:val="22"/>
        </w:rPr>
        <w:t xml:space="preserve"> alanine transaminase; AST</w:t>
      </w:r>
      <w:r>
        <w:rPr>
          <w:rFonts w:cstheme="minorHAnsi"/>
          <w:sz w:val="22"/>
          <w:szCs w:val="22"/>
        </w:rPr>
        <w:t xml:space="preserve"> – </w:t>
      </w:r>
      <w:r w:rsidRPr="00FD738C">
        <w:rPr>
          <w:rFonts w:cstheme="minorHAnsi"/>
          <w:sz w:val="22"/>
          <w:szCs w:val="22"/>
        </w:rPr>
        <w:t>aspartate transaminase</w:t>
      </w:r>
      <w:r>
        <w:rPr>
          <w:rFonts w:cstheme="minorHAnsi"/>
          <w:sz w:val="22"/>
          <w:szCs w:val="22"/>
        </w:rPr>
        <w:t xml:space="preserve">; </w:t>
      </w:r>
      <w:r w:rsidRPr="00FD738C">
        <w:rPr>
          <w:rFonts w:cstheme="minorHAnsi"/>
          <w:sz w:val="22"/>
          <w:szCs w:val="22"/>
        </w:rPr>
        <w:t>ALP</w:t>
      </w:r>
      <w:r>
        <w:rPr>
          <w:rFonts w:cstheme="minorHAnsi"/>
          <w:sz w:val="22"/>
          <w:szCs w:val="22"/>
        </w:rPr>
        <w:t xml:space="preserve"> – </w:t>
      </w:r>
      <w:r w:rsidRPr="00FD738C">
        <w:rPr>
          <w:rFonts w:cstheme="minorHAnsi"/>
          <w:sz w:val="22"/>
          <w:szCs w:val="22"/>
        </w:rPr>
        <w:t>alkaline phosphatase</w:t>
      </w:r>
      <w:r>
        <w:rPr>
          <w:rFonts w:cstheme="minorHAnsi"/>
          <w:sz w:val="22"/>
          <w:szCs w:val="22"/>
        </w:rPr>
        <w:t>; eGFR – estimated glomerular filtration rate.</w:t>
      </w:r>
    </w:p>
    <w:tbl>
      <w:tblPr>
        <w:tblW w:w="86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68"/>
        <w:gridCol w:w="559"/>
        <w:gridCol w:w="1169"/>
        <w:gridCol w:w="756"/>
        <w:gridCol w:w="553"/>
        <w:gridCol w:w="835"/>
        <w:gridCol w:w="778"/>
        <w:gridCol w:w="799"/>
        <w:gridCol w:w="1132"/>
        <w:gridCol w:w="592"/>
      </w:tblGrid>
      <w:tr w:rsidR="00F4158D" w:rsidRPr="00760DF8" w:rsidTr="000D5D6E">
        <w:trPr>
          <w:trHeight w:val="443"/>
          <w:tblHeader/>
        </w:trPr>
        <w:tc>
          <w:tcPr>
            <w:tcW w:w="0" w:type="auto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Times New Roman" w:eastAsia="Times New Roman" w:hAnsi="Times New Roman" w:cs="Times New Roman"/>
                <w:kern w:val="0"/>
                <w:lang w:val="en-IE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DBD</w:t>
            </w: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br/>
              <w:t>(N=619)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DCD</w:t>
            </w: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br/>
              <w:t>(N=238)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Overall</w:t>
            </w: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br/>
              <w:t>(N=857)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Amylase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131 (212)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108 (131)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125 (194)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70.0 [8.00, 3300]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69.0 [10.0, 1310]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70.0 [8.00, 3300]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89 (14.4%)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41 (17.2%)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130 (15.2%)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ALT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196 (434)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201 (444)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198 (437)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59.0 [8.00, 5090]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88.5 [9.00, 5930]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67.0 [8.00, 5930]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18 (2.9%)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 (2.5%)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24 (2.8%)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AST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133 (221)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233 (824)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159 (461)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65.0 [0, 2040]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94.0 [10.0, 7910]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72.0 [0, 7910]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352 (56.9%)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145 (60.9%)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497 (58.0%)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ALP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99.5 (58.7)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116 (74.9)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104 (64.0)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85.0 [31.0, 721]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90.0 [35.0, 541]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86.0 [31.0, 721]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 (0.3%)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 (0.8%)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4 (0.5%)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Bilirubin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hanging="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14.4 (10.7)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14.3 (9.72)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14.4 (10.4)</w:t>
            </w:r>
          </w:p>
        </w:tc>
      </w:tr>
      <w:tr w:rsidR="00F4158D" w:rsidRPr="00760DF8" w:rsidTr="000D5D6E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hanging="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12.0 [3.00, 124]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11.5 [3.00, 65.0]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12.0 [3.00, 124]</w:t>
            </w:r>
          </w:p>
        </w:tc>
      </w:tr>
      <w:tr w:rsidR="00F4158D" w:rsidRPr="00760DF8" w:rsidTr="000D5D6E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hanging="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 (0.2%)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0 (0%)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60D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 (0.1%)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Urea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7.76 (6.96)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8.11 (7.76)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835" w:right="-13" w:hanging="2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7.86 (7.19)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6.20 [2.20, 78.0]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6.60 [2.10, 86.0]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835" w:right="-13" w:hanging="2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6.30 [2.10, 86.0]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Creatinine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835" w:right="-13" w:hanging="2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C6196" w:rsidRDefault="00F4158D" w:rsidP="000D5D6E">
            <w:pPr>
              <w:ind w:left="-16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98.2 (52.7)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89.9 (41.6)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835" w:right="-13" w:hanging="2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95.9 (50.0)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C6196" w:rsidRDefault="00F4158D" w:rsidP="000D5D6E">
            <w:pPr>
              <w:ind w:left="-16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87.0 [4.00, 604]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84.0 [20.0, 356]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835" w:right="-13" w:hanging="274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86.0 [4.00, 604]</w:t>
            </w: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C6196" w:rsidRDefault="00F4158D" w:rsidP="000D5D6E">
            <w:pPr>
              <w:ind w:left="-16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eGFR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C6196" w:rsidRDefault="00F4158D" w:rsidP="000D5D6E">
            <w:pPr>
              <w:ind w:left="-167" w:right="3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82.3 (16.3)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right="37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85.6 (17.9)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540" w:right="37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83.1 (16.7)</w:t>
            </w: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-167" w:right="3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lastRenderedPageBreak/>
              <w:t>Median [Min, Max]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90.0 [39.0, 231]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540" w:right="37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90.0 [21.0, 184]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  <w:hideMark/>
          </w:tcPr>
          <w:p w:rsidR="00F4158D" w:rsidRPr="00760DF8" w:rsidRDefault="00F4158D" w:rsidP="000D5D6E">
            <w:pPr>
              <w:ind w:left="540" w:right="37" w:firstLine="296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90.0 [21.0, 231]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351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109 (17.6%)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799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72 (30.3%)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1462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181 (21.1%)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Lactate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351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799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1462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Mean (SD)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351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2.20 (1.68)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799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1.97 (1.39)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1462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2.13 (1.61)</w:t>
            </w:r>
          </w:p>
        </w:tc>
      </w:tr>
      <w:tr w:rsidR="00F4158D" w:rsidRPr="00760DF8" w:rsidTr="000D5D6E">
        <w:trPr>
          <w:gridAfter w:val="1"/>
          <w:trHeight w:val="2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Median [Min, Max]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351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1.70 [0.400, 14.2]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799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1.50 [0.500, 11.7]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1462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1.70 [0.400, 14.2]</w:t>
            </w:r>
          </w:p>
        </w:tc>
      </w:tr>
      <w:tr w:rsidR="00F4158D" w:rsidRPr="00760DF8" w:rsidTr="000D5D6E">
        <w:trPr>
          <w:gridAfter w:val="1"/>
          <w:trHeight w:val="22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30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-16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Missing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351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8 (1.3%)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799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7 (2.9%)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F4158D" w:rsidRPr="00760DF8" w:rsidRDefault="00F4158D" w:rsidP="000D5D6E">
            <w:pPr>
              <w:ind w:left="1462" w:right="3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</w:pPr>
            <w:r w:rsidRPr="007C61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IE"/>
                <w14:ligatures w14:val="none"/>
              </w:rPr>
              <w:t>15 (1.8%)</w:t>
            </w:r>
          </w:p>
        </w:tc>
      </w:tr>
    </w:tbl>
    <w:p w:rsidR="00F4158D" w:rsidRDefault="00F4158D" w:rsidP="00F4158D">
      <w:pPr>
        <w:tabs>
          <w:tab w:val="left" w:pos="669"/>
        </w:tabs>
        <w:rPr>
          <w:rFonts w:asciiTheme="majorHAnsi" w:hAnsiTheme="majorHAnsi" w:cstheme="majorHAnsi"/>
          <w:color w:val="0070C0"/>
          <w:sz w:val="40"/>
          <w:szCs w:val="40"/>
        </w:rPr>
      </w:pPr>
    </w:p>
    <w:p w:rsidR="00F4158D" w:rsidRDefault="00F4158D" w:rsidP="00F4158D">
      <w:pPr>
        <w:rPr>
          <w:rFonts w:asciiTheme="majorHAnsi" w:hAnsiTheme="majorHAnsi" w:cstheme="majorHAnsi"/>
          <w:color w:val="0070C0"/>
          <w:sz w:val="40"/>
          <w:szCs w:val="40"/>
        </w:rPr>
      </w:pPr>
      <w:r>
        <w:rPr>
          <w:rFonts w:asciiTheme="majorHAnsi" w:hAnsiTheme="majorHAnsi" w:cstheme="majorHAnsi"/>
          <w:color w:val="0070C0"/>
          <w:sz w:val="40"/>
          <w:szCs w:val="40"/>
        </w:rPr>
        <w:br w:type="page"/>
      </w:r>
    </w:p>
    <w:p w:rsidR="00F4158D" w:rsidRDefault="00F4158D" w:rsidP="00F4158D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Supplementary </w:t>
      </w:r>
      <w:r w:rsidRPr="00FD738C">
        <w:rPr>
          <w:rFonts w:cstheme="minorHAnsi"/>
          <w:sz w:val="22"/>
          <w:szCs w:val="22"/>
        </w:rPr>
        <w:t xml:space="preserve">Table </w:t>
      </w:r>
      <w:r>
        <w:rPr>
          <w:rFonts w:cstheme="minorHAnsi"/>
          <w:sz w:val="22"/>
          <w:szCs w:val="22"/>
        </w:rPr>
        <w:t xml:space="preserve">3: </w:t>
      </w:r>
      <w:r w:rsidRPr="00FD738C">
        <w:rPr>
          <w:rFonts w:cstheme="minorHAnsi"/>
          <w:sz w:val="22"/>
          <w:szCs w:val="22"/>
        </w:rPr>
        <w:t xml:space="preserve">3-Year Graft Survival Cox regression using pooled data </w:t>
      </w:r>
      <w:r>
        <w:rPr>
          <w:rFonts w:cstheme="minorHAnsi"/>
          <w:sz w:val="22"/>
          <w:szCs w:val="22"/>
        </w:rPr>
        <w:t xml:space="preserve">on peak values of donor blood tests </w:t>
      </w:r>
      <w:r w:rsidRPr="00FD738C">
        <w:rPr>
          <w:rFonts w:cstheme="minorHAnsi"/>
          <w:sz w:val="22"/>
          <w:szCs w:val="22"/>
        </w:rPr>
        <w:t>from imputed datasets</w:t>
      </w:r>
      <w:r>
        <w:rPr>
          <w:rFonts w:cstheme="minorHAnsi"/>
          <w:sz w:val="22"/>
          <w:szCs w:val="22"/>
        </w:rPr>
        <w:t>, inclusive of renal function tests and donor serum lactate.</w:t>
      </w:r>
    </w:p>
    <w:p w:rsidR="00F4158D" w:rsidRDefault="00F4158D" w:rsidP="00F4158D">
      <w:pPr>
        <w:spacing w:line="276" w:lineRule="auto"/>
        <w:rPr>
          <w:rFonts w:cstheme="minorHAnsi"/>
          <w:i/>
          <w:iCs/>
          <w:sz w:val="22"/>
          <w:szCs w:val="22"/>
        </w:rPr>
      </w:pPr>
    </w:p>
    <w:p w:rsidR="00F4158D" w:rsidRPr="006E4591" w:rsidRDefault="00F4158D" w:rsidP="00F4158D">
      <w:pPr>
        <w:spacing w:line="276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For blood tests, l</w:t>
      </w:r>
      <w:r w:rsidRPr="006E4591">
        <w:rPr>
          <w:rFonts w:cstheme="minorHAnsi"/>
          <w:i/>
          <w:iCs/>
          <w:sz w:val="22"/>
          <w:szCs w:val="22"/>
        </w:rPr>
        <w:t xml:space="preserve">ogs were taken before inclusion in this model, due to all blood tests results being </w:t>
      </w:r>
      <w:r>
        <w:rPr>
          <w:rFonts w:cstheme="minorHAnsi"/>
          <w:i/>
          <w:iCs/>
          <w:sz w:val="22"/>
          <w:szCs w:val="22"/>
        </w:rPr>
        <w:t>right-</w:t>
      </w:r>
      <w:r w:rsidRPr="006E4591">
        <w:rPr>
          <w:rFonts w:cstheme="minorHAnsi"/>
          <w:i/>
          <w:iCs/>
          <w:sz w:val="22"/>
          <w:szCs w:val="22"/>
        </w:rPr>
        <w:t>skewed. The effect estimates relate to a unit increase in log2(blood tests value). Results from the various LBTs (ALT, AST, ALP, and bilirubin)</w:t>
      </w:r>
      <w:r>
        <w:rPr>
          <w:rFonts w:cstheme="minorHAnsi"/>
          <w:i/>
          <w:iCs/>
          <w:sz w:val="22"/>
          <w:szCs w:val="22"/>
        </w:rPr>
        <w:t>, renal function tests (urea, creatinine and eGFR) and serum lactate</w:t>
      </w:r>
      <w:r w:rsidRPr="006E4591">
        <w:rPr>
          <w:rFonts w:cstheme="minorHAnsi"/>
          <w:i/>
          <w:iCs/>
          <w:sz w:val="22"/>
          <w:szCs w:val="22"/>
        </w:rPr>
        <w:t xml:space="preserve"> could not be included in a single model because of multicollinearity; therefore, multivariable results for each LBT are from a separate multivariable</w:t>
      </w:r>
      <w:r>
        <w:rPr>
          <w:rFonts w:cstheme="minorHAnsi"/>
          <w:i/>
          <w:iCs/>
          <w:sz w:val="22"/>
          <w:szCs w:val="22"/>
        </w:rPr>
        <w:t xml:space="preserve"> model</w:t>
      </w:r>
      <w:r w:rsidRPr="006E4591">
        <w:rPr>
          <w:rFonts w:cstheme="minorHAnsi"/>
          <w:i/>
          <w:iCs/>
          <w:sz w:val="22"/>
          <w:szCs w:val="22"/>
        </w:rPr>
        <w:t xml:space="preserve">. Multivariable results for variables other than LBTs are from the model including peak Amylase. </w:t>
      </w:r>
    </w:p>
    <w:p w:rsidR="00F4158D" w:rsidRDefault="00F4158D" w:rsidP="00F4158D">
      <w:pPr>
        <w:spacing w:line="276" w:lineRule="auto"/>
        <w:rPr>
          <w:rFonts w:cstheme="minorHAnsi"/>
          <w:sz w:val="22"/>
          <w:szCs w:val="22"/>
        </w:rPr>
      </w:pPr>
    </w:p>
    <w:p w:rsidR="00F4158D" w:rsidRDefault="00F4158D" w:rsidP="00F4158D">
      <w:pPr>
        <w:spacing w:line="276" w:lineRule="auto"/>
        <w:rPr>
          <w:rFonts w:cstheme="minorHAnsi"/>
          <w:sz w:val="22"/>
          <w:szCs w:val="22"/>
        </w:rPr>
      </w:pPr>
      <w:r w:rsidRPr="006E4591">
        <w:rPr>
          <w:rFonts w:cstheme="minorHAnsi"/>
          <w:sz w:val="22"/>
          <w:szCs w:val="22"/>
        </w:rPr>
        <w:t xml:space="preserve">ALT, alanine transaminase; AST, aspartate transaminase; ALP, alkaline phosphatase; CI, confidence interval; </w:t>
      </w:r>
      <w:r>
        <w:rPr>
          <w:rFonts w:cstheme="minorHAnsi"/>
          <w:sz w:val="22"/>
          <w:szCs w:val="22"/>
        </w:rPr>
        <w:t xml:space="preserve">eGFR, estimated glomerular </w:t>
      </w:r>
      <w:proofErr w:type="spellStart"/>
      <w:r>
        <w:rPr>
          <w:rFonts w:cstheme="minorHAnsi"/>
          <w:sz w:val="22"/>
          <w:szCs w:val="22"/>
        </w:rPr>
        <w:t>filteration</w:t>
      </w:r>
      <w:proofErr w:type="spellEnd"/>
      <w:r>
        <w:rPr>
          <w:rFonts w:cstheme="minorHAnsi"/>
          <w:sz w:val="22"/>
          <w:szCs w:val="22"/>
        </w:rPr>
        <w:t xml:space="preserve"> rate; </w:t>
      </w:r>
      <w:r w:rsidRPr="006E4591">
        <w:rPr>
          <w:rFonts w:cstheme="minorHAnsi"/>
          <w:sz w:val="22"/>
          <w:szCs w:val="22"/>
        </w:rPr>
        <w:t>LBT, liver blood test; HR, hazard ratio</w:t>
      </w:r>
      <w:r>
        <w:rPr>
          <w:rFonts w:cstheme="minorHAnsi"/>
          <w:sz w:val="22"/>
          <w:szCs w:val="22"/>
        </w:rPr>
        <w:t xml:space="preserve">; </w:t>
      </w:r>
      <w:r w:rsidRPr="00FD738C">
        <w:rPr>
          <w:rFonts w:cstheme="minorHAnsi"/>
          <w:sz w:val="22"/>
          <w:szCs w:val="22"/>
        </w:rPr>
        <w:t>DBD</w:t>
      </w:r>
      <w:r>
        <w:rPr>
          <w:rFonts w:cstheme="minorHAnsi"/>
          <w:sz w:val="22"/>
          <w:szCs w:val="22"/>
        </w:rPr>
        <w:t xml:space="preserve">, </w:t>
      </w:r>
      <w:r w:rsidRPr="00FD738C">
        <w:rPr>
          <w:rFonts w:cstheme="minorHAnsi"/>
          <w:sz w:val="22"/>
          <w:szCs w:val="22"/>
        </w:rPr>
        <w:t>donation following brainstem death; DCD</w:t>
      </w:r>
      <w:r>
        <w:rPr>
          <w:rFonts w:cstheme="minorHAnsi"/>
          <w:sz w:val="22"/>
          <w:szCs w:val="22"/>
        </w:rPr>
        <w:t xml:space="preserve">, </w:t>
      </w:r>
      <w:r w:rsidRPr="00FD738C">
        <w:rPr>
          <w:rFonts w:cstheme="minorHAnsi"/>
          <w:sz w:val="22"/>
          <w:szCs w:val="22"/>
        </w:rPr>
        <w:t>donation following circulatory death</w:t>
      </w:r>
    </w:p>
    <w:p w:rsidR="00F4158D" w:rsidRDefault="00F4158D" w:rsidP="00F4158D">
      <w:pPr>
        <w:tabs>
          <w:tab w:val="left" w:pos="669"/>
        </w:tabs>
        <w:rPr>
          <w:rFonts w:asciiTheme="majorHAnsi" w:hAnsiTheme="majorHAnsi" w:cstheme="majorHAnsi"/>
          <w:color w:val="0070C0"/>
          <w:sz w:val="40"/>
          <w:szCs w:val="40"/>
        </w:rPr>
      </w:pPr>
    </w:p>
    <w:tbl>
      <w:tblPr>
        <w:tblStyle w:val="TableGrid"/>
        <w:tblW w:w="5887" w:type="dxa"/>
        <w:tblLayout w:type="fixed"/>
        <w:tblLook w:val="0000" w:firstRow="0" w:lastRow="0" w:firstColumn="0" w:lastColumn="0" w:noHBand="0" w:noVBand="0"/>
      </w:tblPr>
      <w:tblGrid>
        <w:gridCol w:w="2262"/>
        <w:gridCol w:w="2558"/>
        <w:gridCol w:w="1067"/>
      </w:tblGrid>
      <w:tr w:rsidR="00F4158D" w:rsidRPr="006C5A42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Adjusted HR (95% CI)</w:t>
            </w:r>
          </w:p>
        </w:tc>
        <w:tc>
          <w:tcPr>
            <w:tcW w:w="1067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P-value</w:t>
            </w:r>
          </w:p>
        </w:tc>
      </w:tr>
      <w:tr w:rsidR="00F4158D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Blood Tests</w:t>
            </w:r>
          </w:p>
        </w:tc>
        <w:tc>
          <w:tcPr>
            <w:tcW w:w="2558" w:type="dxa"/>
          </w:tcPr>
          <w:p w:rsidR="00F4158D" w:rsidRDefault="00F4158D" w:rsidP="000D5D6E"/>
        </w:tc>
        <w:tc>
          <w:tcPr>
            <w:tcW w:w="1067" w:type="dxa"/>
          </w:tcPr>
          <w:p w:rsidR="00F4158D" w:rsidRDefault="00F4158D" w:rsidP="000D5D6E"/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>
              <w:rPr>
                <w:b/>
                <w:bCs/>
              </w:rPr>
              <w:t>Urea (Peak)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1.026 (0.731 – 1.441)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0.881</w:t>
            </w:r>
          </w:p>
        </w:tc>
      </w:tr>
      <w:tr w:rsidR="00F4158D" w:rsidRPr="002A34A3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>
              <w:rPr>
                <w:b/>
                <w:bCs/>
              </w:rPr>
              <w:t>Creatinine (Peak)</w:t>
            </w:r>
          </w:p>
        </w:tc>
        <w:tc>
          <w:tcPr>
            <w:tcW w:w="2558" w:type="dxa"/>
          </w:tcPr>
          <w:p w:rsidR="00F4158D" w:rsidRPr="002A34A3" w:rsidRDefault="00F4158D" w:rsidP="000D5D6E">
            <w:r>
              <w:t>1.043 (0.719 – 1.514)</w:t>
            </w:r>
          </w:p>
        </w:tc>
        <w:tc>
          <w:tcPr>
            <w:tcW w:w="1067" w:type="dxa"/>
          </w:tcPr>
          <w:p w:rsidR="00F4158D" w:rsidRPr="002A34A3" w:rsidRDefault="00F4158D" w:rsidP="000D5D6E">
            <w:r>
              <w:t>0.823</w:t>
            </w:r>
          </w:p>
        </w:tc>
      </w:tr>
      <w:tr w:rsidR="00F4158D" w:rsidRPr="002A34A3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>
              <w:rPr>
                <w:b/>
                <w:bCs/>
              </w:rPr>
              <w:t>eGFR (Peak)</w:t>
            </w:r>
          </w:p>
        </w:tc>
        <w:tc>
          <w:tcPr>
            <w:tcW w:w="2558" w:type="dxa"/>
          </w:tcPr>
          <w:p w:rsidR="00F4158D" w:rsidRPr="002A34A3" w:rsidRDefault="00F4158D" w:rsidP="000D5D6E">
            <w:r>
              <w:t>1.290 (0.482 – 3.450)</w:t>
            </w:r>
          </w:p>
        </w:tc>
        <w:tc>
          <w:tcPr>
            <w:tcW w:w="1067" w:type="dxa"/>
          </w:tcPr>
          <w:p w:rsidR="00F4158D" w:rsidRPr="002A34A3" w:rsidRDefault="00F4158D" w:rsidP="000D5D6E">
            <w:r>
              <w:t>0.601</w:t>
            </w:r>
          </w:p>
        </w:tc>
      </w:tr>
      <w:tr w:rsidR="00F4158D" w:rsidRPr="002A34A3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Lacate</w:t>
            </w:r>
            <w:proofErr w:type="spellEnd"/>
            <w:r>
              <w:rPr>
                <w:b/>
                <w:bCs/>
              </w:rPr>
              <w:t xml:space="preserve"> (Peak)</w:t>
            </w:r>
          </w:p>
        </w:tc>
        <w:tc>
          <w:tcPr>
            <w:tcW w:w="2558" w:type="dxa"/>
          </w:tcPr>
          <w:p w:rsidR="00F4158D" w:rsidRPr="002A34A3" w:rsidRDefault="00F4158D" w:rsidP="000D5D6E">
            <w:r>
              <w:t>0.769 (0.501 – 1.181)</w:t>
            </w:r>
          </w:p>
        </w:tc>
        <w:tc>
          <w:tcPr>
            <w:tcW w:w="1067" w:type="dxa"/>
          </w:tcPr>
          <w:p w:rsidR="00F4158D" w:rsidRPr="002A34A3" w:rsidRDefault="00F4158D" w:rsidP="000D5D6E">
            <w:r>
              <w:t>0.230</w:t>
            </w:r>
          </w:p>
        </w:tc>
      </w:tr>
      <w:tr w:rsidR="00F4158D" w:rsidRPr="002A34A3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Pr="002A34A3" w:rsidRDefault="00F4158D" w:rsidP="000D5D6E"/>
        </w:tc>
        <w:tc>
          <w:tcPr>
            <w:tcW w:w="1067" w:type="dxa"/>
          </w:tcPr>
          <w:p w:rsidR="00F4158D" w:rsidRPr="002A34A3" w:rsidRDefault="00F4158D" w:rsidP="000D5D6E"/>
        </w:tc>
      </w:tr>
      <w:tr w:rsidR="00F4158D" w:rsidTr="000D5D6E">
        <w:tc>
          <w:tcPr>
            <w:tcW w:w="2262" w:type="dxa"/>
          </w:tcPr>
          <w:p w:rsidR="00F4158D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Amylase (Peak)</w:t>
            </w:r>
          </w:p>
        </w:tc>
        <w:tc>
          <w:tcPr>
            <w:tcW w:w="2558" w:type="dxa"/>
          </w:tcPr>
          <w:p w:rsidR="00F4158D" w:rsidRDefault="00F4158D" w:rsidP="000D5D6E">
            <w:r>
              <w:t>0</w:t>
            </w:r>
            <w:r w:rsidRPr="0076577B">
              <w:t>.944</w:t>
            </w:r>
            <w:r>
              <w:t xml:space="preserve"> (0.754 – 1.181)</w:t>
            </w:r>
          </w:p>
        </w:tc>
        <w:tc>
          <w:tcPr>
            <w:tcW w:w="1067" w:type="dxa"/>
          </w:tcPr>
          <w:p w:rsidR="00F4158D" w:rsidRDefault="00F4158D" w:rsidP="000D5D6E">
            <w:r>
              <w:t>0</w:t>
            </w:r>
            <w:r w:rsidRPr="0076577B">
              <w:t>.602</w:t>
            </w:r>
          </w:p>
        </w:tc>
      </w:tr>
      <w:tr w:rsidR="00F4158D" w:rsidTr="000D5D6E">
        <w:tc>
          <w:tcPr>
            <w:tcW w:w="2262" w:type="dxa"/>
          </w:tcPr>
          <w:p w:rsidR="00F4158D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ALT (Peak)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2A34A3">
              <w:t>.967</w:t>
            </w:r>
            <w:r>
              <w:t xml:space="preserve"> (0.848 – 1.102)</w:t>
            </w:r>
          </w:p>
        </w:tc>
        <w:tc>
          <w:tcPr>
            <w:tcW w:w="1067" w:type="dxa"/>
          </w:tcPr>
          <w:p w:rsidR="00F4158D" w:rsidRDefault="00F4158D" w:rsidP="000D5D6E">
            <w:r>
              <w:t>0</w:t>
            </w:r>
            <w:r w:rsidRPr="002A34A3">
              <w:t>.616</w:t>
            </w:r>
          </w:p>
        </w:tc>
      </w:tr>
      <w:tr w:rsidR="00F4158D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AST (Peak)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2A34A3">
              <w:t>.908</w:t>
            </w:r>
            <w:r>
              <w:t xml:space="preserve"> (0.771 – 1.070)</w:t>
            </w:r>
          </w:p>
        </w:tc>
        <w:tc>
          <w:tcPr>
            <w:tcW w:w="1067" w:type="dxa"/>
          </w:tcPr>
          <w:p w:rsidR="00F4158D" w:rsidRDefault="00F4158D" w:rsidP="000D5D6E">
            <w:r>
              <w:t>0</w:t>
            </w:r>
            <w:r w:rsidRPr="002A34A3">
              <w:t>.247</w:t>
            </w:r>
          </w:p>
        </w:tc>
      </w:tr>
      <w:tr w:rsidR="00F4158D" w:rsidTr="000D5D6E">
        <w:tc>
          <w:tcPr>
            <w:tcW w:w="2262" w:type="dxa"/>
          </w:tcPr>
          <w:p w:rsidR="00F4158D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ALP (Peak)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2A34A3">
              <w:t>.865</w:t>
            </w:r>
            <w:r>
              <w:t xml:space="preserve"> (0.594 – 1.261)</w:t>
            </w:r>
          </w:p>
        </w:tc>
        <w:tc>
          <w:tcPr>
            <w:tcW w:w="1067" w:type="dxa"/>
          </w:tcPr>
          <w:p w:rsidR="00F4158D" w:rsidRDefault="00F4158D" w:rsidP="000D5D6E">
            <w:r>
              <w:t>0</w:t>
            </w:r>
            <w:r w:rsidRPr="002A34A3">
              <w:t>.451</w:t>
            </w:r>
          </w:p>
        </w:tc>
      </w:tr>
      <w:tr w:rsidR="00F4158D" w:rsidTr="000D5D6E">
        <w:tc>
          <w:tcPr>
            <w:tcW w:w="2262" w:type="dxa"/>
          </w:tcPr>
          <w:p w:rsidR="00F4158D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Bilirubin (Peak)</w:t>
            </w:r>
          </w:p>
        </w:tc>
        <w:tc>
          <w:tcPr>
            <w:tcW w:w="2558" w:type="dxa"/>
          </w:tcPr>
          <w:p w:rsidR="00F4158D" w:rsidRPr="0076577B" w:rsidRDefault="00F4158D" w:rsidP="000D5D6E">
            <w:r w:rsidRPr="002A34A3">
              <w:t>1.229</w:t>
            </w:r>
            <w:r>
              <w:t xml:space="preserve"> (0.930 – 1.624)</w:t>
            </w:r>
          </w:p>
        </w:tc>
        <w:tc>
          <w:tcPr>
            <w:tcW w:w="1067" w:type="dxa"/>
          </w:tcPr>
          <w:p w:rsidR="00F4158D" w:rsidRDefault="00F4158D" w:rsidP="000D5D6E">
            <w:r>
              <w:t>0</w:t>
            </w:r>
            <w:r w:rsidRPr="002A34A3">
              <w:t>.148</w:t>
            </w:r>
          </w:p>
        </w:tc>
      </w:tr>
      <w:tr w:rsidR="00F4158D" w:rsidTr="000D5D6E">
        <w:tc>
          <w:tcPr>
            <w:tcW w:w="2262" w:type="dxa"/>
          </w:tcPr>
          <w:p w:rsidR="00F4158D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Pr="0076577B" w:rsidRDefault="00F4158D" w:rsidP="000D5D6E"/>
        </w:tc>
        <w:tc>
          <w:tcPr>
            <w:tcW w:w="1067" w:type="dxa"/>
          </w:tcPr>
          <w:p w:rsidR="00F4158D" w:rsidRDefault="00F4158D" w:rsidP="000D5D6E"/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Cold Ischaemic Time</w:t>
            </w:r>
            <w:r>
              <w:rPr>
                <w:b/>
                <w:bCs/>
              </w:rPr>
              <w:t xml:space="preserve"> (hours)</w:t>
            </w:r>
          </w:p>
        </w:tc>
        <w:tc>
          <w:tcPr>
            <w:tcW w:w="2558" w:type="dxa"/>
          </w:tcPr>
          <w:p w:rsidR="00F4158D" w:rsidRPr="0076577B" w:rsidRDefault="00F4158D" w:rsidP="000D5D6E">
            <w:r w:rsidRPr="0076577B">
              <w:t>1.338</w:t>
            </w:r>
            <w:r>
              <w:t xml:space="preserve"> (0.611 – 2.930)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.467</w:t>
            </w:r>
          </w:p>
        </w:tc>
      </w:tr>
      <w:tr w:rsidR="00F4158D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Pr="0076577B" w:rsidRDefault="00F4158D" w:rsidP="000D5D6E"/>
        </w:tc>
        <w:tc>
          <w:tcPr>
            <w:tcW w:w="1067" w:type="dxa"/>
          </w:tcPr>
          <w:p w:rsidR="00F4158D" w:rsidRDefault="00F4158D" w:rsidP="000D5D6E"/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Donor Age</w:t>
            </w:r>
            <w:r>
              <w:rPr>
                <w:b/>
                <w:bCs/>
              </w:rPr>
              <w:t xml:space="preserve"> (years)</w:t>
            </w:r>
          </w:p>
        </w:tc>
        <w:tc>
          <w:tcPr>
            <w:tcW w:w="2558" w:type="dxa"/>
          </w:tcPr>
          <w:p w:rsidR="00F4158D" w:rsidRPr="0076577B" w:rsidRDefault="00F4158D" w:rsidP="000D5D6E">
            <w:r w:rsidRPr="0076577B">
              <w:t>1.009</w:t>
            </w:r>
            <w:r>
              <w:t xml:space="preserve"> (0.992 – 1.026)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.322</w:t>
            </w:r>
          </w:p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Donor Type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76577B">
              <w:t>.731</w:t>
            </w:r>
            <w:r>
              <w:t xml:space="preserve"> (0.430 – 1.243)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.247</w:t>
            </w:r>
          </w:p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Donor BMI</w:t>
            </w:r>
          </w:p>
        </w:tc>
        <w:tc>
          <w:tcPr>
            <w:tcW w:w="2558" w:type="dxa"/>
          </w:tcPr>
          <w:p w:rsidR="00F4158D" w:rsidRPr="0076577B" w:rsidRDefault="00F4158D" w:rsidP="000D5D6E">
            <w:r w:rsidRPr="0076577B">
              <w:t>1.078</w:t>
            </w:r>
            <w:r>
              <w:t xml:space="preserve"> (1.015 – 1.144)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.014</w:t>
            </w:r>
          </w:p>
        </w:tc>
      </w:tr>
      <w:tr w:rsidR="00F4158D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Default="00F4158D" w:rsidP="000D5D6E"/>
        </w:tc>
        <w:tc>
          <w:tcPr>
            <w:tcW w:w="1067" w:type="dxa"/>
          </w:tcPr>
          <w:p w:rsidR="00F4158D" w:rsidRDefault="00F4158D" w:rsidP="000D5D6E"/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Transplant Year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76577B">
              <w:t>.948</w:t>
            </w:r>
            <w:r>
              <w:t xml:space="preserve"> (0.820 – 1.096)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.472</w:t>
            </w:r>
          </w:p>
        </w:tc>
      </w:tr>
      <w:tr w:rsidR="00F4158D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</w:p>
        </w:tc>
        <w:tc>
          <w:tcPr>
            <w:tcW w:w="2558" w:type="dxa"/>
          </w:tcPr>
          <w:p w:rsidR="00F4158D" w:rsidRDefault="00F4158D" w:rsidP="000D5D6E"/>
        </w:tc>
        <w:tc>
          <w:tcPr>
            <w:tcW w:w="1067" w:type="dxa"/>
          </w:tcPr>
          <w:p w:rsidR="00F4158D" w:rsidRDefault="00F4158D" w:rsidP="000D5D6E"/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Recipient Age</w:t>
            </w:r>
            <w:r>
              <w:rPr>
                <w:b/>
                <w:bCs/>
              </w:rPr>
              <w:t xml:space="preserve"> (years)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76577B">
              <w:t>.960</w:t>
            </w:r>
            <w:r>
              <w:t xml:space="preserve"> (0.935 – 0.986)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.003</w:t>
            </w:r>
          </w:p>
        </w:tc>
      </w:tr>
      <w:tr w:rsidR="00F4158D" w:rsidRPr="0076577B" w:rsidTr="000D5D6E">
        <w:tc>
          <w:tcPr>
            <w:tcW w:w="2262" w:type="dxa"/>
          </w:tcPr>
          <w:p w:rsidR="00F4158D" w:rsidRPr="006C5A42" w:rsidRDefault="00F4158D" w:rsidP="000D5D6E">
            <w:pPr>
              <w:rPr>
                <w:b/>
                <w:bCs/>
              </w:rPr>
            </w:pPr>
            <w:r w:rsidRPr="006C5A42">
              <w:rPr>
                <w:b/>
                <w:bCs/>
              </w:rPr>
              <w:t>Recipient BMI</w:t>
            </w:r>
          </w:p>
        </w:tc>
        <w:tc>
          <w:tcPr>
            <w:tcW w:w="2558" w:type="dxa"/>
          </w:tcPr>
          <w:p w:rsidR="00F4158D" w:rsidRPr="0076577B" w:rsidRDefault="00F4158D" w:rsidP="000D5D6E">
            <w:r>
              <w:t>0</w:t>
            </w:r>
            <w:r w:rsidRPr="0076577B">
              <w:t>.992</w:t>
            </w:r>
            <w:r>
              <w:t xml:space="preserve"> (0.918 – 1.073)</w:t>
            </w:r>
          </w:p>
        </w:tc>
        <w:tc>
          <w:tcPr>
            <w:tcW w:w="1067" w:type="dxa"/>
          </w:tcPr>
          <w:p w:rsidR="00F4158D" w:rsidRPr="0076577B" w:rsidRDefault="00F4158D" w:rsidP="000D5D6E">
            <w:r>
              <w:t>0</w:t>
            </w:r>
            <w:r w:rsidRPr="0076577B">
              <w:t>.842</w:t>
            </w:r>
          </w:p>
        </w:tc>
      </w:tr>
    </w:tbl>
    <w:p w:rsidR="00512E62" w:rsidRDefault="00512E62">
      <w:pPr>
        <w:rPr>
          <w:rFonts w:asciiTheme="majorHAnsi" w:hAnsiTheme="majorHAnsi" w:cstheme="majorHAnsi"/>
          <w:color w:val="0070C0"/>
          <w:sz w:val="40"/>
          <w:szCs w:val="40"/>
        </w:rPr>
      </w:pPr>
    </w:p>
    <w:p w:rsidR="00D6223F" w:rsidRPr="00F4158D" w:rsidRDefault="00D6223F">
      <w:pPr>
        <w:rPr>
          <w:rFonts w:asciiTheme="majorHAnsi" w:hAnsiTheme="majorHAnsi" w:cstheme="majorHAnsi"/>
          <w:color w:val="0070C0"/>
          <w:sz w:val="40"/>
          <w:szCs w:val="40"/>
        </w:rPr>
      </w:pPr>
    </w:p>
    <w:sectPr w:rsidR="00D6223F" w:rsidRPr="00F4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D"/>
    <w:rsid w:val="000412C5"/>
    <w:rsid w:val="000519AC"/>
    <w:rsid w:val="000C3CF2"/>
    <w:rsid w:val="000E4461"/>
    <w:rsid w:val="000F0D0B"/>
    <w:rsid w:val="00112750"/>
    <w:rsid w:val="00117ABC"/>
    <w:rsid w:val="00130ADF"/>
    <w:rsid w:val="00161984"/>
    <w:rsid w:val="001A24F6"/>
    <w:rsid w:val="001A58DC"/>
    <w:rsid w:val="001E52D3"/>
    <w:rsid w:val="001F51CF"/>
    <w:rsid w:val="00217F21"/>
    <w:rsid w:val="00225ACD"/>
    <w:rsid w:val="00232B7F"/>
    <w:rsid w:val="00281152"/>
    <w:rsid w:val="002B2CEB"/>
    <w:rsid w:val="002F0B62"/>
    <w:rsid w:val="002F3104"/>
    <w:rsid w:val="0038355E"/>
    <w:rsid w:val="003B0A76"/>
    <w:rsid w:val="003D45F4"/>
    <w:rsid w:val="00437E33"/>
    <w:rsid w:val="004641B8"/>
    <w:rsid w:val="004710F0"/>
    <w:rsid w:val="00512E62"/>
    <w:rsid w:val="005644F8"/>
    <w:rsid w:val="00581E89"/>
    <w:rsid w:val="00585583"/>
    <w:rsid w:val="00591D15"/>
    <w:rsid w:val="005A16FE"/>
    <w:rsid w:val="005C6C6F"/>
    <w:rsid w:val="005D7F84"/>
    <w:rsid w:val="005E3B6E"/>
    <w:rsid w:val="00636235"/>
    <w:rsid w:val="0067428A"/>
    <w:rsid w:val="006B6227"/>
    <w:rsid w:val="006C6A17"/>
    <w:rsid w:val="006C73E6"/>
    <w:rsid w:val="006F1F79"/>
    <w:rsid w:val="0076614D"/>
    <w:rsid w:val="007C13E3"/>
    <w:rsid w:val="007C2A2A"/>
    <w:rsid w:val="007D3961"/>
    <w:rsid w:val="007D4F97"/>
    <w:rsid w:val="00801156"/>
    <w:rsid w:val="008256A7"/>
    <w:rsid w:val="0085337E"/>
    <w:rsid w:val="00872C92"/>
    <w:rsid w:val="00883C29"/>
    <w:rsid w:val="008B2250"/>
    <w:rsid w:val="00900C17"/>
    <w:rsid w:val="00955A6C"/>
    <w:rsid w:val="00982170"/>
    <w:rsid w:val="009C61A1"/>
    <w:rsid w:val="00A20266"/>
    <w:rsid w:val="00A803F1"/>
    <w:rsid w:val="00AA3099"/>
    <w:rsid w:val="00AB40D7"/>
    <w:rsid w:val="00AC3499"/>
    <w:rsid w:val="00AF3E8C"/>
    <w:rsid w:val="00B110E1"/>
    <w:rsid w:val="00B21B76"/>
    <w:rsid w:val="00B56850"/>
    <w:rsid w:val="00B715F6"/>
    <w:rsid w:val="00B849A5"/>
    <w:rsid w:val="00B86DF7"/>
    <w:rsid w:val="00BA0E3B"/>
    <w:rsid w:val="00BD147C"/>
    <w:rsid w:val="00BE0ACF"/>
    <w:rsid w:val="00C61BB9"/>
    <w:rsid w:val="00CD44AF"/>
    <w:rsid w:val="00CF1E9E"/>
    <w:rsid w:val="00D57715"/>
    <w:rsid w:val="00D6223F"/>
    <w:rsid w:val="00D7312C"/>
    <w:rsid w:val="00D873D5"/>
    <w:rsid w:val="00DD7607"/>
    <w:rsid w:val="00E0021A"/>
    <w:rsid w:val="00E003D8"/>
    <w:rsid w:val="00E309B3"/>
    <w:rsid w:val="00E63F27"/>
    <w:rsid w:val="00E66BBC"/>
    <w:rsid w:val="00E713BC"/>
    <w:rsid w:val="00E71DC4"/>
    <w:rsid w:val="00EC757E"/>
    <w:rsid w:val="00EE2EB5"/>
    <w:rsid w:val="00F4158D"/>
    <w:rsid w:val="00F908FB"/>
    <w:rsid w:val="00FB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D7473"/>
  <w15:chartTrackingRefBased/>
  <w15:docId w15:val="{C427B9B5-0AF0-EA49-A7D7-FA07B50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8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Xuan Ho</dc:creator>
  <cp:keywords/>
  <dc:description/>
  <cp:lastModifiedBy>Ning Xuan Ho</cp:lastModifiedBy>
  <cp:revision>3</cp:revision>
  <dcterms:created xsi:type="dcterms:W3CDTF">2024-05-12T23:32:00Z</dcterms:created>
  <dcterms:modified xsi:type="dcterms:W3CDTF">2024-05-13T12:13:00Z</dcterms:modified>
</cp:coreProperties>
</file>