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7FA01" w14:textId="4C9E7980" w:rsidR="00202EF7" w:rsidRPr="009B3329" w:rsidRDefault="00202EF7" w:rsidP="005F020C">
      <w:pPr>
        <w:widowControl/>
        <w:spacing w:line="480" w:lineRule="auto"/>
        <w:jc w:val="left"/>
        <w:rPr>
          <w:rFonts w:ascii="Arial" w:hAnsi="Arial" w:cs="Arial"/>
          <w:b/>
          <w:bCs/>
        </w:rPr>
      </w:pPr>
      <w:r w:rsidRPr="009B3329">
        <w:rPr>
          <w:rFonts w:ascii="Arial" w:hAnsi="Arial" w:cs="Arial"/>
          <w:b/>
          <w:bCs/>
        </w:rPr>
        <w:t>Supplemental Digital Content</w:t>
      </w:r>
    </w:p>
    <w:p w14:paraId="76A80C9F" w14:textId="1220BCF5" w:rsidR="00202EF7" w:rsidRPr="005F020C" w:rsidRDefault="00202EF7" w:rsidP="005F020C">
      <w:pPr>
        <w:widowControl/>
        <w:spacing w:line="480" w:lineRule="auto"/>
        <w:jc w:val="left"/>
        <w:rPr>
          <w:rFonts w:ascii="Arial" w:hAnsi="Arial" w:cs="Arial"/>
        </w:rPr>
      </w:pPr>
      <w:r w:rsidRPr="005F020C">
        <w:rPr>
          <w:rFonts w:ascii="Arial" w:hAnsi="Arial" w:cs="Arial"/>
        </w:rPr>
        <w:t>1. Supplementary tables</w:t>
      </w:r>
    </w:p>
    <w:p w14:paraId="49F95B19" w14:textId="3CF8F794" w:rsidR="00202EF7" w:rsidRDefault="00202EF7" w:rsidP="005F020C">
      <w:pPr>
        <w:widowControl/>
        <w:spacing w:line="480" w:lineRule="auto"/>
        <w:jc w:val="left"/>
        <w:rPr>
          <w:rFonts w:ascii="Arial" w:hAnsi="Arial" w:cs="Arial"/>
        </w:rPr>
      </w:pPr>
      <w:r w:rsidRPr="005F020C">
        <w:rPr>
          <w:rFonts w:ascii="Arial" w:hAnsi="Arial" w:cs="Arial"/>
        </w:rPr>
        <w:t>2. Supplementary material for Figure 2</w:t>
      </w:r>
    </w:p>
    <w:p w14:paraId="363EC6CD" w14:textId="1456110F" w:rsidR="00906681" w:rsidRPr="00906681" w:rsidRDefault="00906681" w:rsidP="005F020C">
      <w:pPr>
        <w:widowControl/>
        <w:spacing w:line="480" w:lineRule="auto"/>
        <w:jc w:val="left"/>
        <w:rPr>
          <w:rFonts w:ascii="Arial" w:hAnsi="Arial" w:cs="Arial"/>
        </w:rPr>
      </w:pPr>
      <w:r>
        <w:rPr>
          <w:rFonts w:ascii="Arial" w:hAnsi="Arial" w:cs="Arial"/>
        </w:rPr>
        <w:t xml:space="preserve">3. </w:t>
      </w:r>
      <w:r>
        <w:rPr>
          <w:rFonts w:ascii="Arial" w:hAnsi="Arial" w:cs="Arial" w:hint="eastAsia"/>
        </w:rPr>
        <w:t>Supplementary</w:t>
      </w:r>
      <w:r>
        <w:rPr>
          <w:rFonts w:ascii="Arial" w:hAnsi="Arial" w:cs="Arial"/>
        </w:rPr>
        <w:t xml:space="preserve"> figure legends</w:t>
      </w:r>
    </w:p>
    <w:p w14:paraId="67AED045" w14:textId="77777777" w:rsidR="00202EF7" w:rsidRPr="005F020C" w:rsidRDefault="00202EF7" w:rsidP="005F020C">
      <w:pPr>
        <w:widowControl/>
        <w:spacing w:line="480" w:lineRule="auto"/>
        <w:jc w:val="left"/>
        <w:rPr>
          <w:rFonts w:ascii="Arial" w:hAnsi="Arial" w:cs="Arial"/>
        </w:rPr>
      </w:pPr>
    </w:p>
    <w:p w14:paraId="566433CD" w14:textId="77777777" w:rsidR="00202EF7" w:rsidRPr="005F020C" w:rsidRDefault="00202EF7" w:rsidP="005F020C">
      <w:pPr>
        <w:widowControl/>
        <w:spacing w:line="480" w:lineRule="auto"/>
        <w:jc w:val="left"/>
        <w:rPr>
          <w:rFonts w:ascii="Arial" w:hAnsi="Arial" w:cs="Arial"/>
        </w:rPr>
      </w:pPr>
    </w:p>
    <w:p w14:paraId="10415B1E" w14:textId="77777777" w:rsidR="00202EF7" w:rsidRPr="005F020C" w:rsidRDefault="00202EF7" w:rsidP="005F020C">
      <w:pPr>
        <w:widowControl/>
        <w:spacing w:line="480" w:lineRule="auto"/>
        <w:jc w:val="left"/>
        <w:rPr>
          <w:rFonts w:ascii="Arial" w:hAnsi="Arial" w:cs="Arial"/>
        </w:rPr>
      </w:pPr>
      <w:r w:rsidRPr="005F020C">
        <w:rPr>
          <w:rFonts w:ascii="Arial" w:hAnsi="Arial" w:cs="Arial"/>
        </w:rPr>
        <w:br w:type="page"/>
      </w:r>
    </w:p>
    <w:p w14:paraId="4FC84847" w14:textId="17CAB5A0" w:rsidR="00202EF7" w:rsidRPr="00AB7DB3" w:rsidRDefault="00202EF7" w:rsidP="005F020C">
      <w:pPr>
        <w:spacing w:line="480" w:lineRule="auto"/>
        <w:rPr>
          <w:rFonts w:ascii="Arial" w:hAnsi="Arial" w:cs="Arial"/>
          <w:b/>
          <w:bCs/>
        </w:rPr>
      </w:pPr>
      <w:r w:rsidRPr="00AB7DB3">
        <w:rPr>
          <w:rFonts w:ascii="Arial" w:hAnsi="Arial" w:cs="Arial"/>
          <w:b/>
          <w:bCs/>
        </w:rPr>
        <w:lastRenderedPageBreak/>
        <w:t>&lt;1&gt;Supplementary Tables</w:t>
      </w:r>
    </w:p>
    <w:tbl>
      <w:tblPr>
        <w:tblW w:w="7881" w:type="dxa"/>
        <w:tblLook w:val="04A0" w:firstRow="1" w:lastRow="0" w:firstColumn="1" w:lastColumn="0" w:noHBand="0" w:noVBand="1"/>
      </w:tblPr>
      <w:tblGrid>
        <w:gridCol w:w="3261"/>
        <w:gridCol w:w="992"/>
        <w:gridCol w:w="2453"/>
        <w:gridCol w:w="1175"/>
      </w:tblGrid>
      <w:tr w:rsidR="00191040" w:rsidRPr="002A16D9" w14:paraId="42EB766A" w14:textId="77777777" w:rsidTr="00B32AF4">
        <w:trPr>
          <w:trHeight w:val="636"/>
        </w:trPr>
        <w:tc>
          <w:tcPr>
            <w:tcW w:w="7881" w:type="dxa"/>
            <w:gridSpan w:val="4"/>
            <w:tcBorders>
              <w:top w:val="nil"/>
              <w:left w:val="nil"/>
              <w:bottom w:val="single" w:sz="4" w:space="0" w:color="auto"/>
              <w:right w:val="nil"/>
            </w:tcBorders>
            <w:shd w:val="clear" w:color="auto" w:fill="auto"/>
            <w:vAlign w:val="center"/>
            <w:hideMark/>
          </w:tcPr>
          <w:p w14:paraId="6FEF1AFE" w14:textId="33AAC24E" w:rsidR="00191040" w:rsidRPr="002A16D9" w:rsidRDefault="00191040" w:rsidP="00231415">
            <w:pPr>
              <w:widowControl/>
              <w:jc w:val="center"/>
              <w:rPr>
                <w:rFonts w:ascii="Arial" w:eastAsia="等线" w:hAnsi="Arial" w:cs="Arial"/>
                <w:b/>
                <w:bCs/>
                <w:color w:val="000000"/>
                <w:kern w:val="0"/>
                <w:sz w:val="20"/>
                <w:szCs w:val="20"/>
              </w:rPr>
            </w:pPr>
            <w:r w:rsidRPr="002A16D9">
              <w:rPr>
                <w:rFonts w:ascii="Arial" w:eastAsia="等线" w:hAnsi="Arial" w:cs="Arial"/>
                <w:b/>
                <w:bCs/>
                <w:color w:val="000000"/>
                <w:kern w:val="0"/>
                <w:sz w:val="20"/>
                <w:szCs w:val="20"/>
              </w:rPr>
              <w:t xml:space="preserve">Table </w:t>
            </w:r>
            <w:r>
              <w:rPr>
                <w:rFonts w:ascii="Arial" w:eastAsia="等线" w:hAnsi="Arial" w:cs="Arial"/>
                <w:b/>
                <w:bCs/>
                <w:color w:val="000000"/>
                <w:kern w:val="0"/>
                <w:sz w:val="20"/>
                <w:szCs w:val="20"/>
              </w:rPr>
              <w:t>S1</w:t>
            </w:r>
            <w:r w:rsidRPr="002A16D9">
              <w:rPr>
                <w:rFonts w:ascii="Arial" w:eastAsia="等线" w:hAnsi="Arial" w:cs="Arial"/>
                <w:b/>
                <w:bCs/>
                <w:color w:val="000000"/>
                <w:kern w:val="0"/>
                <w:sz w:val="20"/>
                <w:szCs w:val="20"/>
              </w:rPr>
              <w:t xml:space="preserve"> Univariate logistic models predicting severe </w:t>
            </w:r>
            <w:r w:rsidR="0091489A">
              <w:rPr>
                <w:rFonts w:ascii="Arial" w:eastAsia="等线" w:hAnsi="Arial" w:cs="Arial"/>
                <w:b/>
                <w:bCs/>
                <w:color w:val="000000"/>
                <w:kern w:val="0"/>
                <w:sz w:val="20"/>
                <w:szCs w:val="20"/>
              </w:rPr>
              <w:t>adverse</w:t>
            </w:r>
            <w:r w:rsidRPr="002A16D9">
              <w:rPr>
                <w:rFonts w:ascii="Arial" w:eastAsia="等线" w:hAnsi="Arial" w:cs="Arial"/>
                <w:b/>
                <w:bCs/>
                <w:color w:val="000000"/>
                <w:kern w:val="0"/>
                <w:sz w:val="20"/>
                <w:szCs w:val="20"/>
              </w:rPr>
              <w:t xml:space="preserve"> outcome after heart transplantation</w:t>
            </w:r>
          </w:p>
        </w:tc>
      </w:tr>
      <w:tr w:rsidR="00191040" w:rsidRPr="002A16D9" w14:paraId="7312F2C0" w14:textId="77777777" w:rsidTr="00B32AF4">
        <w:trPr>
          <w:trHeight w:val="312"/>
        </w:trPr>
        <w:tc>
          <w:tcPr>
            <w:tcW w:w="3261" w:type="dxa"/>
            <w:tcBorders>
              <w:top w:val="nil"/>
              <w:left w:val="nil"/>
              <w:bottom w:val="single" w:sz="4" w:space="0" w:color="auto"/>
              <w:right w:val="nil"/>
            </w:tcBorders>
            <w:shd w:val="clear" w:color="auto" w:fill="auto"/>
            <w:noWrap/>
            <w:vAlign w:val="center"/>
            <w:hideMark/>
          </w:tcPr>
          <w:p w14:paraId="5E2A88F6" w14:textId="77777777" w:rsidR="00191040" w:rsidRPr="002A16D9" w:rsidRDefault="00191040" w:rsidP="00231415">
            <w:pPr>
              <w:widowControl/>
              <w:jc w:val="center"/>
              <w:rPr>
                <w:rFonts w:ascii="Arial" w:eastAsia="等线" w:hAnsi="Arial" w:cs="Arial"/>
                <w:b/>
                <w:bCs/>
                <w:color w:val="000000"/>
                <w:kern w:val="0"/>
                <w:sz w:val="20"/>
                <w:szCs w:val="20"/>
              </w:rPr>
            </w:pPr>
            <w:r w:rsidRPr="002A16D9">
              <w:rPr>
                <w:rFonts w:ascii="Arial" w:eastAsia="等线" w:hAnsi="Arial" w:cs="Arial"/>
                <w:b/>
                <w:bCs/>
                <w:color w:val="000000"/>
                <w:kern w:val="0"/>
                <w:sz w:val="20"/>
                <w:szCs w:val="20"/>
              </w:rPr>
              <w:t>Variable</w:t>
            </w:r>
          </w:p>
        </w:tc>
        <w:tc>
          <w:tcPr>
            <w:tcW w:w="992" w:type="dxa"/>
            <w:tcBorders>
              <w:top w:val="nil"/>
              <w:left w:val="nil"/>
              <w:bottom w:val="single" w:sz="4" w:space="0" w:color="auto"/>
              <w:right w:val="nil"/>
            </w:tcBorders>
            <w:shd w:val="clear" w:color="auto" w:fill="auto"/>
            <w:noWrap/>
            <w:vAlign w:val="center"/>
            <w:hideMark/>
          </w:tcPr>
          <w:p w14:paraId="20D53802" w14:textId="77777777" w:rsidR="00191040" w:rsidRPr="002A16D9" w:rsidRDefault="00191040" w:rsidP="00231415">
            <w:pPr>
              <w:widowControl/>
              <w:jc w:val="center"/>
              <w:rPr>
                <w:rFonts w:ascii="Arial" w:eastAsia="等线" w:hAnsi="Arial" w:cs="Arial"/>
                <w:b/>
                <w:bCs/>
                <w:color w:val="000000"/>
                <w:kern w:val="0"/>
                <w:sz w:val="20"/>
                <w:szCs w:val="20"/>
              </w:rPr>
            </w:pPr>
            <w:r w:rsidRPr="002A16D9">
              <w:rPr>
                <w:rFonts w:ascii="Arial" w:eastAsia="等线" w:hAnsi="Arial" w:cs="Arial"/>
                <w:b/>
                <w:bCs/>
                <w:color w:val="000000"/>
                <w:kern w:val="0"/>
                <w:sz w:val="20"/>
                <w:szCs w:val="20"/>
              </w:rPr>
              <w:t>β</w:t>
            </w:r>
          </w:p>
        </w:tc>
        <w:tc>
          <w:tcPr>
            <w:tcW w:w="2453" w:type="dxa"/>
            <w:tcBorders>
              <w:top w:val="nil"/>
              <w:left w:val="nil"/>
              <w:bottom w:val="single" w:sz="4" w:space="0" w:color="auto"/>
              <w:right w:val="nil"/>
            </w:tcBorders>
            <w:shd w:val="clear" w:color="auto" w:fill="auto"/>
            <w:noWrap/>
            <w:vAlign w:val="center"/>
            <w:hideMark/>
          </w:tcPr>
          <w:p w14:paraId="2ED27B1F" w14:textId="77777777" w:rsidR="00191040" w:rsidRPr="002A16D9" w:rsidRDefault="00191040" w:rsidP="00231415">
            <w:pPr>
              <w:widowControl/>
              <w:jc w:val="center"/>
              <w:rPr>
                <w:rFonts w:ascii="Arial" w:eastAsia="等线" w:hAnsi="Arial" w:cs="Arial"/>
                <w:b/>
                <w:bCs/>
                <w:color w:val="000000"/>
                <w:kern w:val="0"/>
                <w:sz w:val="20"/>
                <w:szCs w:val="20"/>
              </w:rPr>
            </w:pPr>
            <w:r w:rsidRPr="002A16D9">
              <w:rPr>
                <w:rFonts w:ascii="Arial" w:eastAsia="等线" w:hAnsi="Arial" w:cs="Arial"/>
                <w:b/>
                <w:bCs/>
                <w:color w:val="000000"/>
                <w:kern w:val="0"/>
                <w:sz w:val="20"/>
                <w:szCs w:val="20"/>
              </w:rPr>
              <w:t>Odds ratio (95% CI)</w:t>
            </w:r>
          </w:p>
        </w:tc>
        <w:tc>
          <w:tcPr>
            <w:tcW w:w="1175" w:type="dxa"/>
            <w:tcBorders>
              <w:top w:val="nil"/>
              <w:left w:val="nil"/>
              <w:bottom w:val="single" w:sz="4" w:space="0" w:color="auto"/>
              <w:right w:val="nil"/>
            </w:tcBorders>
            <w:shd w:val="clear" w:color="auto" w:fill="auto"/>
            <w:noWrap/>
            <w:vAlign w:val="center"/>
            <w:hideMark/>
          </w:tcPr>
          <w:p w14:paraId="5BCA184C" w14:textId="77777777" w:rsidR="00191040" w:rsidRPr="002A16D9" w:rsidRDefault="00191040" w:rsidP="00231415">
            <w:pPr>
              <w:widowControl/>
              <w:jc w:val="center"/>
              <w:rPr>
                <w:rFonts w:ascii="Arial" w:eastAsia="等线" w:hAnsi="Arial" w:cs="Arial"/>
                <w:b/>
                <w:bCs/>
                <w:color w:val="000000"/>
                <w:kern w:val="0"/>
                <w:sz w:val="20"/>
                <w:szCs w:val="20"/>
              </w:rPr>
            </w:pPr>
            <w:r w:rsidRPr="002A16D9">
              <w:rPr>
                <w:rFonts w:ascii="Arial" w:eastAsia="等线" w:hAnsi="Arial" w:cs="Arial"/>
                <w:b/>
                <w:bCs/>
                <w:color w:val="000000"/>
                <w:kern w:val="0"/>
                <w:sz w:val="20"/>
                <w:szCs w:val="20"/>
              </w:rPr>
              <w:t>P-value</w:t>
            </w:r>
          </w:p>
        </w:tc>
      </w:tr>
      <w:tr w:rsidR="00191040" w:rsidRPr="002A16D9" w14:paraId="318ADC3F" w14:textId="77777777" w:rsidTr="00B32AF4">
        <w:trPr>
          <w:trHeight w:val="312"/>
        </w:trPr>
        <w:tc>
          <w:tcPr>
            <w:tcW w:w="3261" w:type="dxa"/>
            <w:tcBorders>
              <w:top w:val="nil"/>
              <w:left w:val="nil"/>
              <w:bottom w:val="nil"/>
              <w:right w:val="nil"/>
            </w:tcBorders>
            <w:shd w:val="clear" w:color="auto" w:fill="auto"/>
            <w:noWrap/>
            <w:vAlign w:val="center"/>
            <w:hideMark/>
          </w:tcPr>
          <w:p w14:paraId="38F7931B" w14:textId="77777777"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VIS</w:t>
            </w:r>
            <w:r w:rsidRPr="002A16D9">
              <w:rPr>
                <w:rFonts w:ascii="Arial" w:eastAsia="等线" w:hAnsi="Arial" w:cs="Arial"/>
                <w:color w:val="000000"/>
                <w:kern w:val="0"/>
                <w:sz w:val="20"/>
                <w:szCs w:val="20"/>
                <w:vertAlign w:val="subscript"/>
              </w:rPr>
              <w:t>max</w:t>
            </w:r>
          </w:p>
        </w:tc>
        <w:tc>
          <w:tcPr>
            <w:tcW w:w="992" w:type="dxa"/>
            <w:tcBorders>
              <w:top w:val="nil"/>
              <w:left w:val="nil"/>
              <w:bottom w:val="nil"/>
              <w:right w:val="nil"/>
            </w:tcBorders>
            <w:shd w:val="clear" w:color="auto" w:fill="auto"/>
            <w:noWrap/>
            <w:vAlign w:val="center"/>
            <w:hideMark/>
          </w:tcPr>
          <w:p w14:paraId="0CD34742"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0.049</w:t>
            </w:r>
          </w:p>
        </w:tc>
        <w:tc>
          <w:tcPr>
            <w:tcW w:w="2453" w:type="dxa"/>
            <w:tcBorders>
              <w:top w:val="nil"/>
              <w:left w:val="nil"/>
              <w:bottom w:val="nil"/>
              <w:right w:val="nil"/>
            </w:tcBorders>
            <w:shd w:val="clear" w:color="auto" w:fill="auto"/>
            <w:noWrap/>
            <w:vAlign w:val="center"/>
            <w:hideMark/>
          </w:tcPr>
          <w:p w14:paraId="2061574A"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1.050 (1.025-1.075)</w:t>
            </w:r>
          </w:p>
        </w:tc>
        <w:tc>
          <w:tcPr>
            <w:tcW w:w="1175" w:type="dxa"/>
            <w:tcBorders>
              <w:top w:val="nil"/>
              <w:left w:val="nil"/>
              <w:bottom w:val="nil"/>
              <w:right w:val="nil"/>
            </w:tcBorders>
            <w:shd w:val="clear" w:color="auto" w:fill="auto"/>
            <w:noWrap/>
            <w:vAlign w:val="center"/>
            <w:hideMark/>
          </w:tcPr>
          <w:p w14:paraId="515E8115"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&lt;0.001</w:t>
            </w:r>
          </w:p>
        </w:tc>
      </w:tr>
      <w:tr w:rsidR="00191040" w:rsidRPr="002A16D9" w14:paraId="2D2F6761" w14:textId="77777777" w:rsidTr="00B32AF4">
        <w:trPr>
          <w:trHeight w:val="312"/>
        </w:trPr>
        <w:tc>
          <w:tcPr>
            <w:tcW w:w="3261" w:type="dxa"/>
            <w:tcBorders>
              <w:top w:val="nil"/>
              <w:left w:val="nil"/>
              <w:bottom w:val="nil"/>
              <w:right w:val="nil"/>
            </w:tcBorders>
            <w:shd w:val="clear" w:color="auto" w:fill="auto"/>
            <w:noWrap/>
            <w:vAlign w:val="center"/>
            <w:hideMark/>
          </w:tcPr>
          <w:p w14:paraId="373019A8" w14:textId="35374E25"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Age (y</w:t>
            </w:r>
            <w:r>
              <w:rPr>
                <w:rFonts w:ascii="Arial" w:eastAsia="等线" w:hAnsi="Arial" w:cs="Arial"/>
                <w:color w:val="000000"/>
                <w:kern w:val="0"/>
                <w:sz w:val="20"/>
                <w:szCs w:val="20"/>
              </w:rPr>
              <w:t>ea</w:t>
            </w:r>
            <w:r w:rsidRPr="002A16D9">
              <w:rPr>
                <w:rFonts w:ascii="Arial" w:eastAsia="等线" w:hAnsi="Arial" w:cs="Arial"/>
                <w:color w:val="000000"/>
                <w:kern w:val="0"/>
                <w:sz w:val="20"/>
                <w:szCs w:val="20"/>
              </w:rPr>
              <w:t>r)</w:t>
            </w:r>
          </w:p>
        </w:tc>
        <w:tc>
          <w:tcPr>
            <w:tcW w:w="992" w:type="dxa"/>
            <w:tcBorders>
              <w:top w:val="nil"/>
              <w:left w:val="nil"/>
              <w:bottom w:val="nil"/>
              <w:right w:val="nil"/>
            </w:tcBorders>
            <w:shd w:val="clear" w:color="auto" w:fill="auto"/>
            <w:noWrap/>
            <w:vAlign w:val="center"/>
            <w:hideMark/>
          </w:tcPr>
          <w:p w14:paraId="4B55016C"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0.01</w:t>
            </w:r>
          </w:p>
        </w:tc>
        <w:tc>
          <w:tcPr>
            <w:tcW w:w="2453" w:type="dxa"/>
            <w:tcBorders>
              <w:top w:val="nil"/>
              <w:left w:val="nil"/>
              <w:bottom w:val="nil"/>
              <w:right w:val="nil"/>
            </w:tcBorders>
            <w:shd w:val="clear" w:color="auto" w:fill="auto"/>
            <w:noWrap/>
            <w:vAlign w:val="center"/>
            <w:hideMark/>
          </w:tcPr>
          <w:p w14:paraId="17245957"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1.010 (0.987-1.033)</w:t>
            </w:r>
          </w:p>
        </w:tc>
        <w:tc>
          <w:tcPr>
            <w:tcW w:w="1175" w:type="dxa"/>
            <w:tcBorders>
              <w:top w:val="nil"/>
              <w:left w:val="nil"/>
              <w:bottom w:val="nil"/>
              <w:right w:val="nil"/>
            </w:tcBorders>
            <w:shd w:val="clear" w:color="auto" w:fill="auto"/>
            <w:noWrap/>
            <w:vAlign w:val="center"/>
            <w:hideMark/>
          </w:tcPr>
          <w:p w14:paraId="68840E8F"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0.409</w:t>
            </w:r>
          </w:p>
        </w:tc>
      </w:tr>
      <w:tr w:rsidR="00191040" w:rsidRPr="002A16D9" w14:paraId="3783950A" w14:textId="77777777" w:rsidTr="00B32AF4">
        <w:trPr>
          <w:trHeight w:val="312"/>
        </w:trPr>
        <w:tc>
          <w:tcPr>
            <w:tcW w:w="3261" w:type="dxa"/>
            <w:tcBorders>
              <w:top w:val="nil"/>
              <w:left w:val="nil"/>
              <w:bottom w:val="nil"/>
              <w:right w:val="nil"/>
            </w:tcBorders>
            <w:shd w:val="clear" w:color="auto" w:fill="auto"/>
            <w:noWrap/>
            <w:vAlign w:val="center"/>
            <w:hideMark/>
          </w:tcPr>
          <w:p w14:paraId="0E9DCF81" w14:textId="004D7F61"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 xml:space="preserve">Male </w:t>
            </w:r>
          </w:p>
        </w:tc>
        <w:tc>
          <w:tcPr>
            <w:tcW w:w="992" w:type="dxa"/>
            <w:tcBorders>
              <w:top w:val="nil"/>
              <w:left w:val="nil"/>
              <w:bottom w:val="nil"/>
              <w:right w:val="nil"/>
            </w:tcBorders>
            <w:shd w:val="clear" w:color="auto" w:fill="auto"/>
            <w:noWrap/>
            <w:vAlign w:val="center"/>
            <w:hideMark/>
          </w:tcPr>
          <w:p w14:paraId="572E447B"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0.377</w:t>
            </w:r>
          </w:p>
        </w:tc>
        <w:tc>
          <w:tcPr>
            <w:tcW w:w="2453" w:type="dxa"/>
            <w:tcBorders>
              <w:top w:val="nil"/>
              <w:left w:val="nil"/>
              <w:bottom w:val="nil"/>
              <w:right w:val="nil"/>
            </w:tcBorders>
            <w:shd w:val="clear" w:color="auto" w:fill="auto"/>
            <w:noWrap/>
            <w:vAlign w:val="center"/>
            <w:hideMark/>
          </w:tcPr>
          <w:p w14:paraId="2505FA80"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1.457 (0.774-2.744)</w:t>
            </w:r>
          </w:p>
        </w:tc>
        <w:tc>
          <w:tcPr>
            <w:tcW w:w="1175" w:type="dxa"/>
            <w:tcBorders>
              <w:top w:val="nil"/>
              <w:left w:val="nil"/>
              <w:bottom w:val="nil"/>
              <w:right w:val="nil"/>
            </w:tcBorders>
            <w:shd w:val="clear" w:color="auto" w:fill="auto"/>
            <w:noWrap/>
            <w:vAlign w:val="center"/>
            <w:hideMark/>
          </w:tcPr>
          <w:p w14:paraId="7167D5D7"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0.243</w:t>
            </w:r>
          </w:p>
        </w:tc>
      </w:tr>
      <w:tr w:rsidR="00191040" w:rsidRPr="002A16D9" w14:paraId="17F89029" w14:textId="77777777" w:rsidTr="00B32AF4">
        <w:trPr>
          <w:trHeight w:val="312"/>
        </w:trPr>
        <w:tc>
          <w:tcPr>
            <w:tcW w:w="3261" w:type="dxa"/>
            <w:tcBorders>
              <w:top w:val="nil"/>
              <w:left w:val="nil"/>
              <w:bottom w:val="nil"/>
              <w:right w:val="nil"/>
            </w:tcBorders>
            <w:shd w:val="clear" w:color="auto" w:fill="auto"/>
            <w:noWrap/>
            <w:vAlign w:val="center"/>
            <w:hideMark/>
          </w:tcPr>
          <w:p w14:paraId="4DF964E4" w14:textId="798D166A"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BMI (kg/m</w:t>
            </w:r>
            <w:r w:rsidRPr="00CF4EF7">
              <w:rPr>
                <w:rFonts w:ascii="Arial" w:eastAsia="等线" w:hAnsi="Arial" w:cs="Arial"/>
                <w:color w:val="000000"/>
                <w:kern w:val="0"/>
                <w:sz w:val="20"/>
                <w:szCs w:val="20"/>
                <w:vertAlign w:val="superscript"/>
              </w:rPr>
              <w:t>2</w:t>
            </w:r>
            <w:r w:rsidRPr="002A16D9">
              <w:rPr>
                <w:rFonts w:ascii="Arial" w:eastAsia="等线" w:hAnsi="Arial" w:cs="Arial"/>
                <w:color w:val="000000"/>
                <w:kern w:val="0"/>
                <w:sz w:val="20"/>
                <w:szCs w:val="20"/>
              </w:rPr>
              <w:t>)</w:t>
            </w:r>
          </w:p>
        </w:tc>
        <w:tc>
          <w:tcPr>
            <w:tcW w:w="992" w:type="dxa"/>
            <w:tcBorders>
              <w:top w:val="nil"/>
              <w:left w:val="nil"/>
              <w:bottom w:val="nil"/>
              <w:right w:val="nil"/>
            </w:tcBorders>
            <w:shd w:val="clear" w:color="auto" w:fill="auto"/>
            <w:noWrap/>
            <w:vAlign w:val="center"/>
            <w:hideMark/>
          </w:tcPr>
          <w:p w14:paraId="73A06ADF"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0.039</w:t>
            </w:r>
          </w:p>
        </w:tc>
        <w:tc>
          <w:tcPr>
            <w:tcW w:w="2453" w:type="dxa"/>
            <w:tcBorders>
              <w:top w:val="nil"/>
              <w:left w:val="nil"/>
              <w:bottom w:val="nil"/>
              <w:right w:val="nil"/>
            </w:tcBorders>
            <w:shd w:val="clear" w:color="auto" w:fill="auto"/>
            <w:noWrap/>
            <w:vAlign w:val="center"/>
            <w:hideMark/>
          </w:tcPr>
          <w:p w14:paraId="6C30EA5D"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1.040 (0.966-1.119)</w:t>
            </w:r>
          </w:p>
        </w:tc>
        <w:tc>
          <w:tcPr>
            <w:tcW w:w="1175" w:type="dxa"/>
            <w:tcBorders>
              <w:top w:val="nil"/>
              <w:left w:val="nil"/>
              <w:bottom w:val="nil"/>
              <w:right w:val="nil"/>
            </w:tcBorders>
            <w:shd w:val="clear" w:color="auto" w:fill="auto"/>
            <w:noWrap/>
            <w:vAlign w:val="center"/>
            <w:hideMark/>
          </w:tcPr>
          <w:p w14:paraId="2B9BEDA5"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0.296</w:t>
            </w:r>
          </w:p>
        </w:tc>
      </w:tr>
      <w:tr w:rsidR="00191040" w:rsidRPr="002A16D9" w14:paraId="5CCEF3F9" w14:textId="77777777" w:rsidTr="00B32AF4">
        <w:trPr>
          <w:trHeight w:val="312"/>
        </w:trPr>
        <w:tc>
          <w:tcPr>
            <w:tcW w:w="3261" w:type="dxa"/>
            <w:tcBorders>
              <w:top w:val="nil"/>
              <w:left w:val="nil"/>
              <w:bottom w:val="nil"/>
              <w:right w:val="nil"/>
            </w:tcBorders>
            <w:shd w:val="clear" w:color="auto" w:fill="auto"/>
            <w:noWrap/>
            <w:vAlign w:val="center"/>
            <w:hideMark/>
          </w:tcPr>
          <w:p w14:paraId="35BF37BB" w14:textId="77777777"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Primary diagnosis</w:t>
            </w:r>
          </w:p>
        </w:tc>
        <w:tc>
          <w:tcPr>
            <w:tcW w:w="992" w:type="dxa"/>
            <w:tcBorders>
              <w:top w:val="nil"/>
              <w:left w:val="nil"/>
              <w:bottom w:val="nil"/>
              <w:right w:val="nil"/>
            </w:tcBorders>
            <w:shd w:val="clear" w:color="auto" w:fill="auto"/>
            <w:noWrap/>
            <w:vAlign w:val="center"/>
            <w:hideMark/>
          </w:tcPr>
          <w:p w14:paraId="03C9DBAD" w14:textId="77777777" w:rsidR="00191040" w:rsidRPr="002A16D9" w:rsidRDefault="00191040" w:rsidP="00231415">
            <w:pPr>
              <w:widowControl/>
              <w:jc w:val="left"/>
              <w:rPr>
                <w:rFonts w:ascii="Arial" w:eastAsia="等线" w:hAnsi="Arial" w:cs="Arial"/>
                <w:color w:val="000000"/>
                <w:kern w:val="0"/>
                <w:sz w:val="20"/>
                <w:szCs w:val="20"/>
              </w:rPr>
            </w:pPr>
          </w:p>
        </w:tc>
        <w:tc>
          <w:tcPr>
            <w:tcW w:w="2453" w:type="dxa"/>
            <w:tcBorders>
              <w:top w:val="nil"/>
              <w:left w:val="nil"/>
              <w:bottom w:val="nil"/>
              <w:right w:val="nil"/>
            </w:tcBorders>
            <w:shd w:val="clear" w:color="auto" w:fill="auto"/>
            <w:noWrap/>
            <w:vAlign w:val="center"/>
            <w:hideMark/>
          </w:tcPr>
          <w:p w14:paraId="71FD2E0C" w14:textId="77777777" w:rsidR="00191040" w:rsidRPr="002A16D9" w:rsidRDefault="00191040" w:rsidP="00231415">
            <w:pPr>
              <w:widowControl/>
              <w:jc w:val="center"/>
              <w:rPr>
                <w:rFonts w:ascii="Arial" w:eastAsia="Times New Roman" w:hAnsi="Arial" w:cs="Arial"/>
                <w:kern w:val="0"/>
                <w:sz w:val="20"/>
                <w:szCs w:val="20"/>
              </w:rPr>
            </w:pPr>
          </w:p>
        </w:tc>
        <w:tc>
          <w:tcPr>
            <w:tcW w:w="1175" w:type="dxa"/>
            <w:tcBorders>
              <w:top w:val="nil"/>
              <w:left w:val="nil"/>
              <w:bottom w:val="nil"/>
              <w:right w:val="nil"/>
            </w:tcBorders>
            <w:shd w:val="clear" w:color="auto" w:fill="auto"/>
            <w:noWrap/>
            <w:vAlign w:val="center"/>
            <w:hideMark/>
          </w:tcPr>
          <w:p w14:paraId="18DC7707"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0.884</w:t>
            </w:r>
          </w:p>
        </w:tc>
      </w:tr>
      <w:tr w:rsidR="00191040" w:rsidRPr="002A16D9" w14:paraId="162B736E" w14:textId="77777777" w:rsidTr="00B32AF4">
        <w:trPr>
          <w:trHeight w:val="312"/>
        </w:trPr>
        <w:tc>
          <w:tcPr>
            <w:tcW w:w="3261" w:type="dxa"/>
            <w:tcBorders>
              <w:top w:val="nil"/>
              <w:left w:val="nil"/>
              <w:bottom w:val="nil"/>
              <w:right w:val="nil"/>
            </w:tcBorders>
            <w:shd w:val="clear" w:color="auto" w:fill="auto"/>
            <w:noWrap/>
            <w:vAlign w:val="center"/>
            <w:hideMark/>
          </w:tcPr>
          <w:p w14:paraId="0A728CA6" w14:textId="7C25885B"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 xml:space="preserve">  </w:t>
            </w:r>
            <w:r>
              <w:rPr>
                <w:rFonts w:ascii="Arial" w:eastAsia="等线" w:hAnsi="Arial" w:cs="Arial"/>
                <w:color w:val="000000"/>
                <w:kern w:val="0"/>
                <w:sz w:val="20"/>
                <w:szCs w:val="20"/>
              </w:rPr>
              <w:t>Non-ischemic cardiomyopathy</w:t>
            </w:r>
          </w:p>
        </w:tc>
        <w:tc>
          <w:tcPr>
            <w:tcW w:w="992" w:type="dxa"/>
            <w:tcBorders>
              <w:top w:val="nil"/>
              <w:left w:val="nil"/>
              <w:bottom w:val="nil"/>
              <w:right w:val="nil"/>
            </w:tcBorders>
            <w:shd w:val="clear" w:color="auto" w:fill="auto"/>
            <w:noWrap/>
            <w:vAlign w:val="center"/>
            <w:hideMark/>
          </w:tcPr>
          <w:p w14:paraId="678A7313"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0.179</w:t>
            </w:r>
          </w:p>
        </w:tc>
        <w:tc>
          <w:tcPr>
            <w:tcW w:w="2453" w:type="dxa"/>
            <w:tcBorders>
              <w:top w:val="nil"/>
              <w:left w:val="nil"/>
              <w:bottom w:val="nil"/>
              <w:right w:val="nil"/>
            </w:tcBorders>
            <w:shd w:val="clear" w:color="auto" w:fill="auto"/>
            <w:noWrap/>
            <w:vAlign w:val="center"/>
            <w:hideMark/>
          </w:tcPr>
          <w:p w14:paraId="456D97A3"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1.194 (0.328-4.358)</w:t>
            </w:r>
          </w:p>
        </w:tc>
        <w:tc>
          <w:tcPr>
            <w:tcW w:w="1175" w:type="dxa"/>
            <w:tcBorders>
              <w:top w:val="nil"/>
              <w:left w:val="nil"/>
              <w:bottom w:val="nil"/>
              <w:right w:val="nil"/>
            </w:tcBorders>
            <w:shd w:val="clear" w:color="auto" w:fill="auto"/>
            <w:noWrap/>
            <w:vAlign w:val="center"/>
            <w:hideMark/>
          </w:tcPr>
          <w:p w14:paraId="185F2C19"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0.786</w:t>
            </w:r>
          </w:p>
        </w:tc>
      </w:tr>
      <w:tr w:rsidR="00191040" w:rsidRPr="002A16D9" w14:paraId="1EEB5050" w14:textId="77777777" w:rsidTr="00B32AF4">
        <w:trPr>
          <w:trHeight w:val="312"/>
        </w:trPr>
        <w:tc>
          <w:tcPr>
            <w:tcW w:w="3261" w:type="dxa"/>
            <w:tcBorders>
              <w:top w:val="nil"/>
              <w:left w:val="nil"/>
              <w:bottom w:val="nil"/>
              <w:right w:val="nil"/>
            </w:tcBorders>
            <w:shd w:val="clear" w:color="auto" w:fill="auto"/>
            <w:noWrap/>
            <w:vAlign w:val="center"/>
            <w:hideMark/>
          </w:tcPr>
          <w:p w14:paraId="1BF80D38" w14:textId="088B495D"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 xml:space="preserve">  I</w:t>
            </w:r>
            <w:r>
              <w:rPr>
                <w:rFonts w:ascii="Arial" w:eastAsia="等线" w:hAnsi="Arial" w:cs="Arial"/>
                <w:color w:val="000000"/>
                <w:kern w:val="0"/>
                <w:sz w:val="20"/>
                <w:szCs w:val="20"/>
              </w:rPr>
              <w:t>schemic cardiomyopathy</w:t>
            </w:r>
          </w:p>
        </w:tc>
        <w:tc>
          <w:tcPr>
            <w:tcW w:w="992" w:type="dxa"/>
            <w:tcBorders>
              <w:top w:val="nil"/>
              <w:left w:val="nil"/>
              <w:bottom w:val="nil"/>
              <w:right w:val="nil"/>
            </w:tcBorders>
            <w:shd w:val="clear" w:color="auto" w:fill="auto"/>
            <w:noWrap/>
            <w:vAlign w:val="center"/>
            <w:hideMark/>
          </w:tcPr>
          <w:p w14:paraId="161FD10C"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0.116</w:t>
            </w:r>
          </w:p>
        </w:tc>
        <w:tc>
          <w:tcPr>
            <w:tcW w:w="2453" w:type="dxa"/>
            <w:tcBorders>
              <w:top w:val="nil"/>
              <w:left w:val="nil"/>
              <w:bottom w:val="nil"/>
              <w:right w:val="nil"/>
            </w:tcBorders>
            <w:shd w:val="clear" w:color="auto" w:fill="auto"/>
            <w:noWrap/>
            <w:vAlign w:val="center"/>
            <w:hideMark/>
          </w:tcPr>
          <w:p w14:paraId="5DA37992"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1.123 (0.281-4.493)</w:t>
            </w:r>
          </w:p>
        </w:tc>
        <w:tc>
          <w:tcPr>
            <w:tcW w:w="1175" w:type="dxa"/>
            <w:tcBorders>
              <w:top w:val="nil"/>
              <w:left w:val="nil"/>
              <w:bottom w:val="nil"/>
              <w:right w:val="nil"/>
            </w:tcBorders>
            <w:shd w:val="clear" w:color="auto" w:fill="auto"/>
            <w:noWrap/>
            <w:vAlign w:val="center"/>
            <w:hideMark/>
          </w:tcPr>
          <w:p w14:paraId="637BC96D"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0.869</w:t>
            </w:r>
          </w:p>
        </w:tc>
      </w:tr>
      <w:tr w:rsidR="00191040" w:rsidRPr="002A16D9" w14:paraId="0056F9F8" w14:textId="77777777" w:rsidTr="00B32AF4">
        <w:trPr>
          <w:trHeight w:val="312"/>
        </w:trPr>
        <w:tc>
          <w:tcPr>
            <w:tcW w:w="3261" w:type="dxa"/>
            <w:tcBorders>
              <w:top w:val="nil"/>
              <w:left w:val="nil"/>
              <w:bottom w:val="nil"/>
              <w:right w:val="nil"/>
            </w:tcBorders>
            <w:shd w:val="clear" w:color="auto" w:fill="auto"/>
            <w:noWrap/>
            <w:vAlign w:val="center"/>
            <w:hideMark/>
          </w:tcPr>
          <w:p w14:paraId="4474CE40" w14:textId="0EC4EFF7"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 xml:space="preserve">  </w:t>
            </w:r>
            <w:r>
              <w:rPr>
                <w:rFonts w:ascii="Arial" w:eastAsia="等线" w:hAnsi="Arial" w:cs="Arial"/>
                <w:color w:val="000000"/>
                <w:kern w:val="0"/>
                <w:sz w:val="20"/>
                <w:szCs w:val="20"/>
              </w:rPr>
              <w:t>Valvular heart disease</w:t>
            </w:r>
          </w:p>
        </w:tc>
        <w:tc>
          <w:tcPr>
            <w:tcW w:w="992" w:type="dxa"/>
            <w:tcBorders>
              <w:top w:val="nil"/>
              <w:left w:val="nil"/>
              <w:bottom w:val="nil"/>
              <w:right w:val="nil"/>
            </w:tcBorders>
            <w:shd w:val="clear" w:color="auto" w:fill="auto"/>
            <w:noWrap/>
            <w:vAlign w:val="center"/>
            <w:hideMark/>
          </w:tcPr>
          <w:p w14:paraId="50194823"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-0.194</w:t>
            </w:r>
          </w:p>
        </w:tc>
        <w:tc>
          <w:tcPr>
            <w:tcW w:w="2453" w:type="dxa"/>
            <w:tcBorders>
              <w:top w:val="nil"/>
              <w:left w:val="nil"/>
              <w:bottom w:val="nil"/>
              <w:right w:val="nil"/>
            </w:tcBorders>
            <w:shd w:val="clear" w:color="auto" w:fill="auto"/>
            <w:noWrap/>
            <w:vAlign w:val="center"/>
            <w:hideMark/>
          </w:tcPr>
          <w:p w14:paraId="74F14D37"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0.824 (0.180-3.763)</w:t>
            </w:r>
          </w:p>
        </w:tc>
        <w:tc>
          <w:tcPr>
            <w:tcW w:w="1175" w:type="dxa"/>
            <w:tcBorders>
              <w:top w:val="nil"/>
              <w:left w:val="nil"/>
              <w:bottom w:val="nil"/>
              <w:right w:val="nil"/>
            </w:tcBorders>
            <w:shd w:val="clear" w:color="auto" w:fill="auto"/>
            <w:noWrap/>
            <w:vAlign w:val="center"/>
            <w:hideMark/>
          </w:tcPr>
          <w:p w14:paraId="682C2366"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0.802</w:t>
            </w:r>
          </w:p>
        </w:tc>
      </w:tr>
      <w:tr w:rsidR="00191040" w:rsidRPr="002A16D9" w14:paraId="743520F8" w14:textId="77777777" w:rsidTr="00B32AF4">
        <w:trPr>
          <w:trHeight w:val="312"/>
        </w:trPr>
        <w:tc>
          <w:tcPr>
            <w:tcW w:w="3261" w:type="dxa"/>
            <w:tcBorders>
              <w:top w:val="nil"/>
              <w:left w:val="nil"/>
              <w:bottom w:val="nil"/>
              <w:right w:val="nil"/>
            </w:tcBorders>
            <w:shd w:val="clear" w:color="auto" w:fill="auto"/>
            <w:noWrap/>
            <w:vAlign w:val="center"/>
            <w:hideMark/>
          </w:tcPr>
          <w:p w14:paraId="23C04084" w14:textId="77777777"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 xml:space="preserve">  Others</w:t>
            </w:r>
          </w:p>
        </w:tc>
        <w:tc>
          <w:tcPr>
            <w:tcW w:w="992" w:type="dxa"/>
            <w:tcBorders>
              <w:top w:val="nil"/>
              <w:left w:val="nil"/>
              <w:bottom w:val="nil"/>
              <w:right w:val="nil"/>
            </w:tcBorders>
            <w:shd w:val="clear" w:color="auto" w:fill="auto"/>
            <w:noWrap/>
            <w:vAlign w:val="center"/>
            <w:hideMark/>
          </w:tcPr>
          <w:p w14:paraId="2177BBE2"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w:t>
            </w:r>
          </w:p>
        </w:tc>
        <w:tc>
          <w:tcPr>
            <w:tcW w:w="2453" w:type="dxa"/>
            <w:tcBorders>
              <w:top w:val="nil"/>
              <w:left w:val="nil"/>
              <w:bottom w:val="nil"/>
              <w:right w:val="nil"/>
            </w:tcBorders>
            <w:shd w:val="clear" w:color="auto" w:fill="auto"/>
            <w:noWrap/>
            <w:vAlign w:val="center"/>
            <w:hideMark/>
          </w:tcPr>
          <w:p w14:paraId="096F8A3F"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w:t>
            </w:r>
          </w:p>
        </w:tc>
        <w:tc>
          <w:tcPr>
            <w:tcW w:w="1175" w:type="dxa"/>
            <w:tcBorders>
              <w:top w:val="nil"/>
              <w:left w:val="nil"/>
              <w:bottom w:val="nil"/>
              <w:right w:val="nil"/>
            </w:tcBorders>
            <w:shd w:val="clear" w:color="auto" w:fill="auto"/>
            <w:noWrap/>
            <w:vAlign w:val="center"/>
            <w:hideMark/>
          </w:tcPr>
          <w:p w14:paraId="17174EC2"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w:t>
            </w:r>
          </w:p>
        </w:tc>
      </w:tr>
      <w:tr w:rsidR="00191040" w:rsidRPr="002A16D9" w14:paraId="54531BD7" w14:textId="77777777" w:rsidTr="00B32AF4">
        <w:trPr>
          <w:trHeight w:val="312"/>
        </w:trPr>
        <w:tc>
          <w:tcPr>
            <w:tcW w:w="3261" w:type="dxa"/>
            <w:tcBorders>
              <w:top w:val="nil"/>
              <w:left w:val="nil"/>
              <w:bottom w:val="nil"/>
              <w:right w:val="nil"/>
            </w:tcBorders>
            <w:shd w:val="clear" w:color="auto" w:fill="auto"/>
            <w:noWrap/>
            <w:vAlign w:val="center"/>
            <w:hideMark/>
          </w:tcPr>
          <w:p w14:paraId="7F142E5F" w14:textId="77777777"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Diabetes mellitus</w:t>
            </w:r>
          </w:p>
        </w:tc>
        <w:tc>
          <w:tcPr>
            <w:tcW w:w="992" w:type="dxa"/>
            <w:tcBorders>
              <w:top w:val="nil"/>
              <w:left w:val="nil"/>
              <w:bottom w:val="nil"/>
              <w:right w:val="nil"/>
            </w:tcBorders>
            <w:shd w:val="clear" w:color="auto" w:fill="auto"/>
            <w:noWrap/>
            <w:vAlign w:val="center"/>
            <w:hideMark/>
          </w:tcPr>
          <w:p w14:paraId="4443E72D"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0.684</w:t>
            </w:r>
          </w:p>
        </w:tc>
        <w:tc>
          <w:tcPr>
            <w:tcW w:w="2453" w:type="dxa"/>
            <w:tcBorders>
              <w:top w:val="nil"/>
              <w:left w:val="nil"/>
              <w:bottom w:val="nil"/>
              <w:right w:val="nil"/>
            </w:tcBorders>
            <w:shd w:val="clear" w:color="auto" w:fill="auto"/>
            <w:noWrap/>
            <w:vAlign w:val="center"/>
            <w:hideMark/>
          </w:tcPr>
          <w:p w14:paraId="7C087C24"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1.983 (0.987-3.981)</w:t>
            </w:r>
          </w:p>
        </w:tc>
        <w:tc>
          <w:tcPr>
            <w:tcW w:w="1175" w:type="dxa"/>
            <w:tcBorders>
              <w:top w:val="nil"/>
              <w:left w:val="nil"/>
              <w:bottom w:val="nil"/>
              <w:right w:val="nil"/>
            </w:tcBorders>
            <w:shd w:val="clear" w:color="auto" w:fill="auto"/>
            <w:noWrap/>
            <w:vAlign w:val="center"/>
            <w:hideMark/>
          </w:tcPr>
          <w:p w14:paraId="6C8F6643"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0.054</w:t>
            </w:r>
          </w:p>
        </w:tc>
      </w:tr>
      <w:tr w:rsidR="00191040" w:rsidRPr="002A16D9" w14:paraId="2EA48340" w14:textId="77777777" w:rsidTr="00B32AF4">
        <w:trPr>
          <w:trHeight w:val="312"/>
        </w:trPr>
        <w:tc>
          <w:tcPr>
            <w:tcW w:w="3261" w:type="dxa"/>
            <w:tcBorders>
              <w:top w:val="nil"/>
              <w:left w:val="nil"/>
              <w:bottom w:val="nil"/>
              <w:right w:val="nil"/>
            </w:tcBorders>
            <w:shd w:val="clear" w:color="auto" w:fill="auto"/>
            <w:noWrap/>
            <w:vAlign w:val="center"/>
            <w:hideMark/>
          </w:tcPr>
          <w:p w14:paraId="011B9651" w14:textId="77777777"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Lung disease</w:t>
            </w:r>
          </w:p>
        </w:tc>
        <w:tc>
          <w:tcPr>
            <w:tcW w:w="992" w:type="dxa"/>
            <w:tcBorders>
              <w:top w:val="nil"/>
              <w:left w:val="nil"/>
              <w:bottom w:val="nil"/>
              <w:right w:val="nil"/>
            </w:tcBorders>
            <w:shd w:val="clear" w:color="auto" w:fill="auto"/>
            <w:noWrap/>
            <w:vAlign w:val="center"/>
            <w:hideMark/>
          </w:tcPr>
          <w:p w14:paraId="1A6258F3"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0.758</w:t>
            </w:r>
          </w:p>
        </w:tc>
        <w:tc>
          <w:tcPr>
            <w:tcW w:w="2453" w:type="dxa"/>
            <w:tcBorders>
              <w:top w:val="nil"/>
              <w:left w:val="nil"/>
              <w:bottom w:val="nil"/>
              <w:right w:val="nil"/>
            </w:tcBorders>
            <w:shd w:val="clear" w:color="auto" w:fill="auto"/>
            <w:noWrap/>
            <w:vAlign w:val="center"/>
            <w:hideMark/>
          </w:tcPr>
          <w:p w14:paraId="49FB2C9B"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2.133 (0.519-8.774)</w:t>
            </w:r>
          </w:p>
        </w:tc>
        <w:tc>
          <w:tcPr>
            <w:tcW w:w="1175" w:type="dxa"/>
            <w:tcBorders>
              <w:top w:val="nil"/>
              <w:left w:val="nil"/>
              <w:bottom w:val="nil"/>
              <w:right w:val="nil"/>
            </w:tcBorders>
            <w:shd w:val="clear" w:color="auto" w:fill="auto"/>
            <w:noWrap/>
            <w:vAlign w:val="center"/>
            <w:hideMark/>
          </w:tcPr>
          <w:p w14:paraId="43EB22D8"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0.294</w:t>
            </w:r>
          </w:p>
        </w:tc>
      </w:tr>
      <w:tr w:rsidR="00191040" w:rsidRPr="002A16D9" w14:paraId="0F90E3F3" w14:textId="77777777" w:rsidTr="00B32AF4">
        <w:trPr>
          <w:trHeight w:val="312"/>
        </w:trPr>
        <w:tc>
          <w:tcPr>
            <w:tcW w:w="3261" w:type="dxa"/>
            <w:tcBorders>
              <w:top w:val="nil"/>
              <w:left w:val="nil"/>
              <w:bottom w:val="nil"/>
              <w:right w:val="nil"/>
            </w:tcBorders>
            <w:shd w:val="clear" w:color="auto" w:fill="auto"/>
            <w:noWrap/>
            <w:vAlign w:val="center"/>
            <w:hideMark/>
          </w:tcPr>
          <w:p w14:paraId="784BEC5D" w14:textId="77777777"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Kidney disease</w:t>
            </w:r>
          </w:p>
        </w:tc>
        <w:tc>
          <w:tcPr>
            <w:tcW w:w="992" w:type="dxa"/>
            <w:tcBorders>
              <w:top w:val="nil"/>
              <w:left w:val="nil"/>
              <w:bottom w:val="nil"/>
              <w:right w:val="nil"/>
            </w:tcBorders>
            <w:shd w:val="clear" w:color="auto" w:fill="auto"/>
            <w:noWrap/>
            <w:vAlign w:val="center"/>
            <w:hideMark/>
          </w:tcPr>
          <w:p w14:paraId="13B79BE2"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1.109</w:t>
            </w:r>
          </w:p>
        </w:tc>
        <w:tc>
          <w:tcPr>
            <w:tcW w:w="2453" w:type="dxa"/>
            <w:tcBorders>
              <w:top w:val="nil"/>
              <w:left w:val="nil"/>
              <w:bottom w:val="nil"/>
              <w:right w:val="nil"/>
            </w:tcBorders>
            <w:shd w:val="clear" w:color="auto" w:fill="auto"/>
            <w:noWrap/>
            <w:vAlign w:val="center"/>
            <w:hideMark/>
          </w:tcPr>
          <w:p w14:paraId="05E3D664"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3.030 (1.183-7.765)</w:t>
            </w:r>
          </w:p>
        </w:tc>
        <w:tc>
          <w:tcPr>
            <w:tcW w:w="1175" w:type="dxa"/>
            <w:tcBorders>
              <w:top w:val="nil"/>
              <w:left w:val="nil"/>
              <w:bottom w:val="nil"/>
              <w:right w:val="nil"/>
            </w:tcBorders>
            <w:shd w:val="clear" w:color="auto" w:fill="auto"/>
            <w:noWrap/>
            <w:vAlign w:val="center"/>
            <w:hideMark/>
          </w:tcPr>
          <w:p w14:paraId="10A47107"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0.021</w:t>
            </w:r>
          </w:p>
        </w:tc>
      </w:tr>
      <w:tr w:rsidR="00191040" w:rsidRPr="002A16D9" w14:paraId="00C48451" w14:textId="77777777" w:rsidTr="00B32AF4">
        <w:trPr>
          <w:trHeight w:val="312"/>
        </w:trPr>
        <w:tc>
          <w:tcPr>
            <w:tcW w:w="3261" w:type="dxa"/>
            <w:tcBorders>
              <w:top w:val="nil"/>
              <w:left w:val="nil"/>
              <w:bottom w:val="nil"/>
              <w:right w:val="nil"/>
            </w:tcBorders>
            <w:shd w:val="clear" w:color="auto" w:fill="auto"/>
            <w:noWrap/>
            <w:vAlign w:val="center"/>
            <w:hideMark/>
          </w:tcPr>
          <w:p w14:paraId="7C824783" w14:textId="77777777"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Dopamine</w:t>
            </w:r>
          </w:p>
        </w:tc>
        <w:tc>
          <w:tcPr>
            <w:tcW w:w="992" w:type="dxa"/>
            <w:tcBorders>
              <w:top w:val="nil"/>
              <w:left w:val="nil"/>
              <w:bottom w:val="nil"/>
              <w:right w:val="nil"/>
            </w:tcBorders>
            <w:shd w:val="clear" w:color="auto" w:fill="auto"/>
            <w:noWrap/>
            <w:vAlign w:val="center"/>
            <w:hideMark/>
          </w:tcPr>
          <w:p w14:paraId="2CFE6381"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0.794</w:t>
            </w:r>
          </w:p>
        </w:tc>
        <w:tc>
          <w:tcPr>
            <w:tcW w:w="2453" w:type="dxa"/>
            <w:tcBorders>
              <w:top w:val="nil"/>
              <w:left w:val="nil"/>
              <w:bottom w:val="nil"/>
              <w:right w:val="nil"/>
            </w:tcBorders>
            <w:shd w:val="clear" w:color="auto" w:fill="auto"/>
            <w:noWrap/>
            <w:vAlign w:val="center"/>
            <w:hideMark/>
          </w:tcPr>
          <w:p w14:paraId="363C0988"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2.212 (1.216-4.023)</w:t>
            </w:r>
          </w:p>
        </w:tc>
        <w:tc>
          <w:tcPr>
            <w:tcW w:w="1175" w:type="dxa"/>
            <w:tcBorders>
              <w:top w:val="nil"/>
              <w:left w:val="nil"/>
              <w:bottom w:val="nil"/>
              <w:right w:val="nil"/>
            </w:tcBorders>
            <w:shd w:val="clear" w:color="auto" w:fill="auto"/>
            <w:noWrap/>
            <w:vAlign w:val="center"/>
            <w:hideMark/>
          </w:tcPr>
          <w:p w14:paraId="38466CB1"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0.009</w:t>
            </w:r>
          </w:p>
        </w:tc>
      </w:tr>
      <w:tr w:rsidR="00191040" w:rsidRPr="002A16D9" w14:paraId="6AB2E45D" w14:textId="77777777" w:rsidTr="00B32AF4">
        <w:trPr>
          <w:trHeight w:val="312"/>
        </w:trPr>
        <w:tc>
          <w:tcPr>
            <w:tcW w:w="3261" w:type="dxa"/>
            <w:tcBorders>
              <w:top w:val="nil"/>
              <w:left w:val="nil"/>
              <w:bottom w:val="nil"/>
              <w:right w:val="nil"/>
            </w:tcBorders>
            <w:shd w:val="clear" w:color="auto" w:fill="auto"/>
            <w:noWrap/>
            <w:vAlign w:val="center"/>
            <w:hideMark/>
          </w:tcPr>
          <w:p w14:paraId="0E14CBE1" w14:textId="77777777"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Epinephrine</w:t>
            </w:r>
          </w:p>
        </w:tc>
        <w:tc>
          <w:tcPr>
            <w:tcW w:w="992" w:type="dxa"/>
            <w:tcBorders>
              <w:top w:val="nil"/>
              <w:left w:val="nil"/>
              <w:bottom w:val="nil"/>
              <w:right w:val="nil"/>
            </w:tcBorders>
            <w:shd w:val="clear" w:color="auto" w:fill="auto"/>
            <w:noWrap/>
            <w:vAlign w:val="center"/>
            <w:hideMark/>
          </w:tcPr>
          <w:p w14:paraId="4EDE2FE9"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0.815</w:t>
            </w:r>
          </w:p>
        </w:tc>
        <w:tc>
          <w:tcPr>
            <w:tcW w:w="2453" w:type="dxa"/>
            <w:tcBorders>
              <w:top w:val="nil"/>
              <w:left w:val="nil"/>
              <w:bottom w:val="nil"/>
              <w:right w:val="nil"/>
            </w:tcBorders>
            <w:shd w:val="clear" w:color="auto" w:fill="auto"/>
            <w:noWrap/>
            <w:vAlign w:val="center"/>
            <w:hideMark/>
          </w:tcPr>
          <w:p w14:paraId="3CE0D353"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2.259 (0.883-5.779)</w:t>
            </w:r>
          </w:p>
        </w:tc>
        <w:tc>
          <w:tcPr>
            <w:tcW w:w="1175" w:type="dxa"/>
            <w:tcBorders>
              <w:top w:val="nil"/>
              <w:left w:val="nil"/>
              <w:bottom w:val="nil"/>
              <w:right w:val="nil"/>
            </w:tcBorders>
            <w:shd w:val="clear" w:color="auto" w:fill="auto"/>
            <w:noWrap/>
            <w:vAlign w:val="center"/>
            <w:hideMark/>
          </w:tcPr>
          <w:p w14:paraId="1817F8DD"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0.089</w:t>
            </w:r>
          </w:p>
        </w:tc>
      </w:tr>
      <w:tr w:rsidR="00191040" w:rsidRPr="002A16D9" w14:paraId="7FB72B28" w14:textId="77777777" w:rsidTr="00B32AF4">
        <w:trPr>
          <w:trHeight w:val="312"/>
        </w:trPr>
        <w:tc>
          <w:tcPr>
            <w:tcW w:w="3261" w:type="dxa"/>
            <w:tcBorders>
              <w:top w:val="nil"/>
              <w:left w:val="nil"/>
              <w:bottom w:val="nil"/>
              <w:right w:val="nil"/>
            </w:tcBorders>
            <w:shd w:val="clear" w:color="auto" w:fill="auto"/>
            <w:noWrap/>
            <w:vAlign w:val="center"/>
            <w:hideMark/>
          </w:tcPr>
          <w:p w14:paraId="6BEFB8D2" w14:textId="5F340757"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 xml:space="preserve">Advanced </w:t>
            </w:r>
            <w:r w:rsidR="00B32AF4">
              <w:rPr>
                <w:rFonts w:ascii="Arial" w:eastAsia="等线" w:hAnsi="Arial" w:cs="Arial"/>
                <w:color w:val="000000"/>
                <w:kern w:val="0"/>
                <w:sz w:val="20"/>
                <w:szCs w:val="20"/>
              </w:rPr>
              <w:t>heart failure</w:t>
            </w:r>
            <w:r w:rsidRPr="002A16D9">
              <w:rPr>
                <w:rFonts w:ascii="Arial" w:eastAsia="等线" w:hAnsi="Arial" w:cs="Arial"/>
                <w:color w:val="000000"/>
                <w:kern w:val="0"/>
                <w:sz w:val="20"/>
                <w:szCs w:val="20"/>
              </w:rPr>
              <w:t xml:space="preserve"> treatment</w:t>
            </w:r>
          </w:p>
        </w:tc>
        <w:tc>
          <w:tcPr>
            <w:tcW w:w="992" w:type="dxa"/>
            <w:tcBorders>
              <w:top w:val="nil"/>
              <w:left w:val="nil"/>
              <w:bottom w:val="nil"/>
              <w:right w:val="nil"/>
            </w:tcBorders>
            <w:shd w:val="clear" w:color="auto" w:fill="auto"/>
            <w:noWrap/>
            <w:vAlign w:val="center"/>
            <w:hideMark/>
          </w:tcPr>
          <w:p w14:paraId="669245D9"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0.993</w:t>
            </w:r>
          </w:p>
        </w:tc>
        <w:tc>
          <w:tcPr>
            <w:tcW w:w="2453" w:type="dxa"/>
            <w:tcBorders>
              <w:top w:val="nil"/>
              <w:left w:val="nil"/>
              <w:bottom w:val="nil"/>
              <w:right w:val="nil"/>
            </w:tcBorders>
            <w:shd w:val="clear" w:color="auto" w:fill="auto"/>
            <w:noWrap/>
            <w:vAlign w:val="center"/>
            <w:hideMark/>
          </w:tcPr>
          <w:p w14:paraId="148E95E3"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2.700 (1.476-4.938)</w:t>
            </w:r>
          </w:p>
        </w:tc>
        <w:tc>
          <w:tcPr>
            <w:tcW w:w="1175" w:type="dxa"/>
            <w:tcBorders>
              <w:top w:val="nil"/>
              <w:left w:val="nil"/>
              <w:bottom w:val="nil"/>
              <w:right w:val="nil"/>
            </w:tcBorders>
            <w:shd w:val="clear" w:color="auto" w:fill="auto"/>
            <w:noWrap/>
            <w:vAlign w:val="center"/>
            <w:hideMark/>
          </w:tcPr>
          <w:p w14:paraId="3D18E933"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0.001</w:t>
            </w:r>
          </w:p>
        </w:tc>
      </w:tr>
      <w:tr w:rsidR="00191040" w:rsidRPr="002A16D9" w14:paraId="68054AD4" w14:textId="77777777" w:rsidTr="00B32AF4">
        <w:trPr>
          <w:trHeight w:val="312"/>
        </w:trPr>
        <w:tc>
          <w:tcPr>
            <w:tcW w:w="3261" w:type="dxa"/>
            <w:tcBorders>
              <w:top w:val="nil"/>
              <w:left w:val="nil"/>
              <w:bottom w:val="nil"/>
              <w:right w:val="nil"/>
            </w:tcBorders>
            <w:shd w:val="clear" w:color="auto" w:fill="auto"/>
            <w:noWrap/>
            <w:vAlign w:val="center"/>
            <w:hideMark/>
          </w:tcPr>
          <w:p w14:paraId="46F79B3A" w14:textId="3AA8441B"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H</w:t>
            </w:r>
            <w:r>
              <w:rPr>
                <w:rFonts w:ascii="Arial" w:eastAsia="等线" w:hAnsi="Arial" w:cs="Arial"/>
                <w:color w:val="000000"/>
                <w:kern w:val="0"/>
                <w:sz w:val="20"/>
                <w:szCs w:val="20"/>
              </w:rPr>
              <w:t>emoglo</w:t>
            </w:r>
            <w:r w:rsidRPr="002A16D9">
              <w:rPr>
                <w:rFonts w:ascii="Arial" w:eastAsia="等线" w:hAnsi="Arial" w:cs="Arial"/>
                <w:color w:val="000000"/>
                <w:kern w:val="0"/>
                <w:sz w:val="20"/>
                <w:szCs w:val="20"/>
              </w:rPr>
              <w:t>b</w:t>
            </w:r>
            <w:r>
              <w:rPr>
                <w:rFonts w:ascii="Arial" w:eastAsia="等线" w:hAnsi="Arial" w:cs="Arial"/>
                <w:color w:val="000000"/>
                <w:kern w:val="0"/>
                <w:sz w:val="20"/>
                <w:szCs w:val="20"/>
              </w:rPr>
              <w:t>in</w:t>
            </w:r>
            <w:r w:rsidRPr="002A16D9">
              <w:rPr>
                <w:rFonts w:ascii="Arial" w:eastAsia="等线" w:hAnsi="Arial" w:cs="Arial"/>
                <w:color w:val="000000"/>
                <w:kern w:val="0"/>
                <w:sz w:val="20"/>
                <w:szCs w:val="20"/>
              </w:rPr>
              <w:t xml:space="preserve"> (g/L)</w:t>
            </w:r>
          </w:p>
        </w:tc>
        <w:tc>
          <w:tcPr>
            <w:tcW w:w="992" w:type="dxa"/>
            <w:tcBorders>
              <w:top w:val="nil"/>
              <w:left w:val="nil"/>
              <w:bottom w:val="nil"/>
              <w:right w:val="nil"/>
            </w:tcBorders>
            <w:shd w:val="clear" w:color="auto" w:fill="auto"/>
            <w:noWrap/>
            <w:vAlign w:val="center"/>
            <w:hideMark/>
          </w:tcPr>
          <w:p w14:paraId="240ADC02"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-0.017</w:t>
            </w:r>
          </w:p>
        </w:tc>
        <w:tc>
          <w:tcPr>
            <w:tcW w:w="2453" w:type="dxa"/>
            <w:tcBorders>
              <w:top w:val="nil"/>
              <w:left w:val="nil"/>
              <w:bottom w:val="nil"/>
              <w:right w:val="nil"/>
            </w:tcBorders>
            <w:shd w:val="clear" w:color="auto" w:fill="auto"/>
            <w:noWrap/>
            <w:vAlign w:val="center"/>
            <w:hideMark/>
          </w:tcPr>
          <w:p w14:paraId="4FA70DB2"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0.983 (0.970-0.997)</w:t>
            </w:r>
          </w:p>
        </w:tc>
        <w:tc>
          <w:tcPr>
            <w:tcW w:w="1175" w:type="dxa"/>
            <w:tcBorders>
              <w:top w:val="nil"/>
              <w:left w:val="nil"/>
              <w:bottom w:val="nil"/>
              <w:right w:val="nil"/>
            </w:tcBorders>
            <w:shd w:val="clear" w:color="auto" w:fill="auto"/>
            <w:noWrap/>
            <w:vAlign w:val="center"/>
            <w:hideMark/>
          </w:tcPr>
          <w:p w14:paraId="56C53EC1"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0.014</w:t>
            </w:r>
          </w:p>
        </w:tc>
      </w:tr>
      <w:tr w:rsidR="00191040" w:rsidRPr="002A16D9" w14:paraId="63E48A4C" w14:textId="77777777" w:rsidTr="00B32AF4">
        <w:trPr>
          <w:trHeight w:val="312"/>
        </w:trPr>
        <w:tc>
          <w:tcPr>
            <w:tcW w:w="3261" w:type="dxa"/>
            <w:tcBorders>
              <w:top w:val="nil"/>
              <w:left w:val="nil"/>
              <w:bottom w:val="nil"/>
              <w:right w:val="nil"/>
            </w:tcBorders>
            <w:shd w:val="clear" w:color="auto" w:fill="auto"/>
            <w:noWrap/>
            <w:vAlign w:val="center"/>
            <w:hideMark/>
          </w:tcPr>
          <w:p w14:paraId="2E148341" w14:textId="78B5A214" w:rsidR="00191040" w:rsidRPr="002A16D9" w:rsidRDefault="00191040" w:rsidP="00231415">
            <w:pPr>
              <w:widowControl/>
              <w:jc w:val="left"/>
              <w:rPr>
                <w:rFonts w:ascii="Arial" w:eastAsia="等线" w:hAnsi="Arial" w:cs="Arial"/>
                <w:color w:val="000000"/>
                <w:kern w:val="0"/>
                <w:sz w:val="20"/>
                <w:szCs w:val="20"/>
              </w:rPr>
            </w:pPr>
            <w:r>
              <w:rPr>
                <w:rFonts w:ascii="Arial" w:eastAsia="等线" w:hAnsi="Arial" w:cs="Arial" w:hint="eastAsia"/>
                <w:color w:val="000000"/>
                <w:kern w:val="0"/>
                <w:sz w:val="20"/>
                <w:szCs w:val="20"/>
              </w:rPr>
              <w:t>Al</w:t>
            </w:r>
            <w:r>
              <w:rPr>
                <w:rFonts w:ascii="Arial" w:eastAsia="等线" w:hAnsi="Arial" w:cs="Arial"/>
                <w:color w:val="000000"/>
                <w:kern w:val="0"/>
                <w:sz w:val="20"/>
                <w:szCs w:val="20"/>
              </w:rPr>
              <w:t>bumin</w:t>
            </w:r>
            <w:r w:rsidRPr="002A16D9">
              <w:rPr>
                <w:rFonts w:ascii="Arial" w:eastAsia="等线" w:hAnsi="Arial" w:cs="Arial"/>
                <w:color w:val="000000"/>
                <w:kern w:val="0"/>
                <w:sz w:val="20"/>
                <w:szCs w:val="20"/>
              </w:rPr>
              <w:t xml:space="preserve"> (g/L)</w:t>
            </w:r>
          </w:p>
        </w:tc>
        <w:tc>
          <w:tcPr>
            <w:tcW w:w="992" w:type="dxa"/>
            <w:tcBorders>
              <w:top w:val="nil"/>
              <w:left w:val="nil"/>
              <w:bottom w:val="nil"/>
              <w:right w:val="nil"/>
            </w:tcBorders>
            <w:shd w:val="clear" w:color="auto" w:fill="auto"/>
            <w:noWrap/>
            <w:vAlign w:val="center"/>
            <w:hideMark/>
          </w:tcPr>
          <w:p w14:paraId="63FC1F17"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-0.078</w:t>
            </w:r>
          </w:p>
        </w:tc>
        <w:tc>
          <w:tcPr>
            <w:tcW w:w="2453" w:type="dxa"/>
            <w:tcBorders>
              <w:top w:val="nil"/>
              <w:left w:val="nil"/>
              <w:bottom w:val="nil"/>
              <w:right w:val="nil"/>
            </w:tcBorders>
            <w:shd w:val="clear" w:color="auto" w:fill="auto"/>
            <w:noWrap/>
            <w:vAlign w:val="center"/>
            <w:hideMark/>
          </w:tcPr>
          <w:p w14:paraId="5A41A453"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0.925 (0.868-0.985)</w:t>
            </w:r>
          </w:p>
        </w:tc>
        <w:tc>
          <w:tcPr>
            <w:tcW w:w="1175" w:type="dxa"/>
            <w:tcBorders>
              <w:top w:val="nil"/>
              <w:left w:val="nil"/>
              <w:bottom w:val="nil"/>
              <w:right w:val="nil"/>
            </w:tcBorders>
            <w:shd w:val="clear" w:color="auto" w:fill="auto"/>
            <w:noWrap/>
            <w:vAlign w:val="center"/>
            <w:hideMark/>
          </w:tcPr>
          <w:p w14:paraId="2349DE5E"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0.015</w:t>
            </w:r>
          </w:p>
        </w:tc>
      </w:tr>
      <w:tr w:rsidR="00191040" w:rsidRPr="002A16D9" w14:paraId="46C5D6D3" w14:textId="77777777" w:rsidTr="00B32AF4">
        <w:trPr>
          <w:trHeight w:val="312"/>
        </w:trPr>
        <w:tc>
          <w:tcPr>
            <w:tcW w:w="3261" w:type="dxa"/>
            <w:tcBorders>
              <w:top w:val="nil"/>
              <w:left w:val="nil"/>
              <w:bottom w:val="nil"/>
              <w:right w:val="nil"/>
            </w:tcBorders>
            <w:shd w:val="clear" w:color="auto" w:fill="auto"/>
            <w:noWrap/>
            <w:vAlign w:val="center"/>
            <w:hideMark/>
          </w:tcPr>
          <w:p w14:paraId="519A70C2" w14:textId="18733DB9" w:rsidR="00191040" w:rsidRPr="002A16D9" w:rsidRDefault="00191040" w:rsidP="00231415">
            <w:pPr>
              <w:widowControl/>
              <w:jc w:val="left"/>
              <w:rPr>
                <w:rFonts w:ascii="Arial" w:eastAsia="等线" w:hAnsi="Arial" w:cs="Arial"/>
                <w:color w:val="000000"/>
                <w:kern w:val="0"/>
                <w:sz w:val="20"/>
                <w:szCs w:val="20"/>
              </w:rPr>
            </w:pPr>
            <w:r>
              <w:rPr>
                <w:rFonts w:ascii="Arial" w:eastAsia="等线" w:hAnsi="Arial" w:cs="Arial"/>
                <w:color w:val="000000"/>
                <w:kern w:val="0"/>
                <w:sz w:val="20"/>
                <w:szCs w:val="20"/>
              </w:rPr>
              <w:t>Serum creatinine</w:t>
            </w:r>
            <w:r w:rsidRPr="002A16D9">
              <w:rPr>
                <w:rFonts w:ascii="Arial" w:eastAsia="等线" w:hAnsi="Arial" w:cs="Arial"/>
                <w:color w:val="000000"/>
                <w:kern w:val="0"/>
                <w:sz w:val="20"/>
                <w:szCs w:val="20"/>
              </w:rPr>
              <w:t xml:space="preserve"> (μmol/L)</w:t>
            </w:r>
          </w:p>
        </w:tc>
        <w:tc>
          <w:tcPr>
            <w:tcW w:w="992" w:type="dxa"/>
            <w:tcBorders>
              <w:top w:val="nil"/>
              <w:left w:val="nil"/>
              <w:bottom w:val="nil"/>
              <w:right w:val="nil"/>
            </w:tcBorders>
            <w:shd w:val="clear" w:color="auto" w:fill="auto"/>
            <w:noWrap/>
            <w:vAlign w:val="center"/>
            <w:hideMark/>
          </w:tcPr>
          <w:p w14:paraId="2CE49294"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0.013</w:t>
            </w:r>
          </w:p>
        </w:tc>
        <w:tc>
          <w:tcPr>
            <w:tcW w:w="2453" w:type="dxa"/>
            <w:tcBorders>
              <w:top w:val="nil"/>
              <w:left w:val="nil"/>
              <w:bottom w:val="nil"/>
              <w:right w:val="nil"/>
            </w:tcBorders>
            <w:shd w:val="clear" w:color="auto" w:fill="auto"/>
            <w:noWrap/>
            <w:vAlign w:val="center"/>
            <w:hideMark/>
          </w:tcPr>
          <w:p w14:paraId="57D7F1E9"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1.013 (1.006-1.020)</w:t>
            </w:r>
          </w:p>
        </w:tc>
        <w:tc>
          <w:tcPr>
            <w:tcW w:w="1175" w:type="dxa"/>
            <w:tcBorders>
              <w:top w:val="nil"/>
              <w:left w:val="nil"/>
              <w:bottom w:val="nil"/>
              <w:right w:val="nil"/>
            </w:tcBorders>
            <w:shd w:val="clear" w:color="auto" w:fill="auto"/>
            <w:noWrap/>
            <w:vAlign w:val="center"/>
            <w:hideMark/>
          </w:tcPr>
          <w:p w14:paraId="12684FB0"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&lt;0.001</w:t>
            </w:r>
          </w:p>
        </w:tc>
      </w:tr>
      <w:tr w:rsidR="00191040" w:rsidRPr="002A16D9" w14:paraId="55B1B9A6" w14:textId="77777777" w:rsidTr="00B32AF4">
        <w:trPr>
          <w:trHeight w:val="312"/>
        </w:trPr>
        <w:tc>
          <w:tcPr>
            <w:tcW w:w="3261" w:type="dxa"/>
            <w:tcBorders>
              <w:top w:val="nil"/>
              <w:left w:val="nil"/>
              <w:bottom w:val="nil"/>
              <w:right w:val="nil"/>
            </w:tcBorders>
            <w:shd w:val="clear" w:color="auto" w:fill="auto"/>
            <w:noWrap/>
            <w:vAlign w:val="center"/>
            <w:hideMark/>
          </w:tcPr>
          <w:p w14:paraId="2ECF25DC" w14:textId="4752BD22" w:rsidR="00191040" w:rsidRPr="002A16D9" w:rsidRDefault="00191040" w:rsidP="00231415">
            <w:pPr>
              <w:widowControl/>
              <w:jc w:val="left"/>
              <w:rPr>
                <w:rFonts w:ascii="Arial" w:eastAsia="等线" w:hAnsi="Arial" w:cs="Arial"/>
                <w:color w:val="000000"/>
                <w:kern w:val="0"/>
                <w:sz w:val="20"/>
                <w:szCs w:val="20"/>
              </w:rPr>
            </w:pPr>
            <w:r>
              <w:rPr>
                <w:rFonts w:ascii="Arial" w:eastAsia="等线" w:hAnsi="Arial" w:cs="Arial" w:hint="eastAsia"/>
                <w:color w:val="000000"/>
                <w:kern w:val="0"/>
                <w:sz w:val="20"/>
                <w:szCs w:val="20"/>
              </w:rPr>
              <w:t>Tota</w:t>
            </w:r>
            <w:r>
              <w:rPr>
                <w:rFonts w:ascii="Arial" w:eastAsia="等线" w:hAnsi="Arial" w:cs="Arial"/>
                <w:color w:val="000000"/>
                <w:kern w:val="0"/>
                <w:sz w:val="20"/>
                <w:szCs w:val="20"/>
              </w:rPr>
              <w:t>l bilirubin</w:t>
            </w:r>
            <w:r w:rsidRPr="002A16D9">
              <w:rPr>
                <w:rFonts w:ascii="Arial" w:eastAsia="等线" w:hAnsi="Arial" w:cs="Arial"/>
                <w:color w:val="000000"/>
                <w:kern w:val="0"/>
                <w:sz w:val="20"/>
                <w:szCs w:val="20"/>
              </w:rPr>
              <w:t xml:space="preserve"> (μmol/L)</w:t>
            </w:r>
          </w:p>
        </w:tc>
        <w:tc>
          <w:tcPr>
            <w:tcW w:w="992" w:type="dxa"/>
            <w:tcBorders>
              <w:top w:val="nil"/>
              <w:left w:val="nil"/>
              <w:bottom w:val="nil"/>
              <w:right w:val="nil"/>
            </w:tcBorders>
            <w:shd w:val="clear" w:color="auto" w:fill="auto"/>
            <w:noWrap/>
            <w:vAlign w:val="center"/>
            <w:hideMark/>
          </w:tcPr>
          <w:p w14:paraId="5BEC2E27"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0.01</w:t>
            </w:r>
          </w:p>
        </w:tc>
        <w:tc>
          <w:tcPr>
            <w:tcW w:w="2453" w:type="dxa"/>
            <w:tcBorders>
              <w:top w:val="nil"/>
              <w:left w:val="nil"/>
              <w:bottom w:val="nil"/>
              <w:right w:val="nil"/>
            </w:tcBorders>
            <w:shd w:val="clear" w:color="auto" w:fill="auto"/>
            <w:noWrap/>
            <w:vAlign w:val="center"/>
            <w:hideMark/>
          </w:tcPr>
          <w:p w14:paraId="0EB38814"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1.010 (0.999-1.021)</w:t>
            </w:r>
          </w:p>
        </w:tc>
        <w:tc>
          <w:tcPr>
            <w:tcW w:w="1175" w:type="dxa"/>
            <w:tcBorders>
              <w:top w:val="nil"/>
              <w:left w:val="nil"/>
              <w:bottom w:val="nil"/>
              <w:right w:val="nil"/>
            </w:tcBorders>
            <w:shd w:val="clear" w:color="auto" w:fill="auto"/>
            <w:noWrap/>
            <w:vAlign w:val="center"/>
            <w:hideMark/>
          </w:tcPr>
          <w:p w14:paraId="18782F0D"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0.089</w:t>
            </w:r>
          </w:p>
        </w:tc>
      </w:tr>
      <w:tr w:rsidR="00191040" w:rsidRPr="002A16D9" w14:paraId="3CF56EBC" w14:textId="77777777" w:rsidTr="00B32AF4">
        <w:trPr>
          <w:trHeight w:val="312"/>
        </w:trPr>
        <w:tc>
          <w:tcPr>
            <w:tcW w:w="3261" w:type="dxa"/>
            <w:tcBorders>
              <w:top w:val="nil"/>
              <w:left w:val="nil"/>
              <w:bottom w:val="nil"/>
              <w:right w:val="nil"/>
            </w:tcBorders>
            <w:shd w:val="clear" w:color="auto" w:fill="auto"/>
            <w:noWrap/>
            <w:vAlign w:val="center"/>
            <w:hideMark/>
          </w:tcPr>
          <w:p w14:paraId="72ECFD02" w14:textId="77777777" w:rsidR="00191040" w:rsidRDefault="00191040" w:rsidP="00231415">
            <w:pPr>
              <w:widowControl/>
              <w:jc w:val="left"/>
              <w:rPr>
                <w:rFonts w:ascii="Arial" w:eastAsia="等线" w:hAnsi="Arial" w:cs="Arial"/>
                <w:color w:val="000000"/>
                <w:kern w:val="0"/>
                <w:sz w:val="20"/>
                <w:szCs w:val="20"/>
              </w:rPr>
            </w:pPr>
            <w:r>
              <w:rPr>
                <w:rFonts w:ascii="Arial" w:eastAsia="等线" w:hAnsi="Arial" w:cs="Arial"/>
                <w:color w:val="000000"/>
                <w:kern w:val="0"/>
                <w:sz w:val="20"/>
                <w:szCs w:val="20"/>
              </w:rPr>
              <w:t xml:space="preserve">Left ventricular </w:t>
            </w:r>
          </w:p>
          <w:p w14:paraId="1E2BEA6D" w14:textId="01ECC277" w:rsidR="00191040" w:rsidRPr="002A16D9" w:rsidRDefault="00191040" w:rsidP="00231415">
            <w:pPr>
              <w:widowControl/>
              <w:jc w:val="left"/>
              <w:rPr>
                <w:rFonts w:ascii="Arial" w:eastAsia="等线" w:hAnsi="Arial" w:cs="Arial"/>
                <w:color w:val="000000"/>
                <w:kern w:val="0"/>
                <w:sz w:val="20"/>
                <w:szCs w:val="20"/>
              </w:rPr>
            </w:pPr>
            <w:r>
              <w:rPr>
                <w:rFonts w:ascii="Arial" w:eastAsia="等线" w:hAnsi="Arial" w:cs="Arial"/>
                <w:color w:val="000000"/>
                <w:kern w:val="0"/>
                <w:sz w:val="20"/>
                <w:szCs w:val="20"/>
              </w:rPr>
              <w:t>ejection fraction</w:t>
            </w:r>
            <w:r w:rsidRPr="002A16D9">
              <w:rPr>
                <w:rFonts w:ascii="Arial" w:eastAsia="等线" w:hAnsi="Arial" w:cs="Arial"/>
                <w:color w:val="000000"/>
                <w:kern w:val="0"/>
                <w:sz w:val="20"/>
                <w:szCs w:val="20"/>
              </w:rPr>
              <w:t xml:space="preserve"> (%)</w:t>
            </w:r>
          </w:p>
        </w:tc>
        <w:tc>
          <w:tcPr>
            <w:tcW w:w="992" w:type="dxa"/>
            <w:tcBorders>
              <w:top w:val="nil"/>
              <w:left w:val="nil"/>
              <w:bottom w:val="nil"/>
              <w:right w:val="nil"/>
            </w:tcBorders>
            <w:shd w:val="clear" w:color="auto" w:fill="auto"/>
            <w:noWrap/>
            <w:vAlign w:val="center"/>
            <w:hideMark/>
          </w:tcPr>
          <w:p w14:paraId="15CD1844"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0.007</w:t>
            </w:r>
          </w:p>
        </w:tc>
        <w:tc>
          <w:tcPr>
            <w:tcW w:w="2453" w:type="dxa"/>
            <w:tcBorders>
              <w:top w:val="nil"/>
              <w:left w:val="nil"/>
              <w:bottom w:val="nil"/>
              <w:right w:val="nil"/>
            </w:tcBorders>
            <w:shd w:val="clear" w:color="auto" w:fill="auto"/>
            <w:noWrap/>
            <w:vAlign w:val="center"/>
            <w:hideMark/>
          </w:tcPr>
          <w:p w14:paraId="782892CF"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1.007 (0.985-1.030)</w:t>
            </w:r>
          </w:p>
        </w:tc>
        <w:tc>
          <w:tcPr>
            <w:tcW w:w="1175" w:type="dxa"/>
            <w:tcBorders>
              <w:top w:val="nil"/>
              <w:left w:val="nil"/>
              <w:bottom w:val="nil"/>
              <w:right w:val="nil"/>
            </w:tcBorders>
            <w:shd w:val="clear" w:color="auto" w:fill="auto"/>
            <w:noWrap/>
            <w:vAlign w:val="center"/>
            <w:hideMark/>
          </w:tcPr>
          <w:p w14:paraId="4795128C"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0.544</w:t>
            </w:r>
          </w:p>
        </w:tc>
      </w:tr>
      <w:tr w:rsidR="00191040" w:rsidRPr="002A16D9" w14:paraId="543602C6" w14:textId="77777777" w:rsidTr="00B32AF4">
        <w:trPr>
          <w:trHeight w:val="312"/>
        </w:trPr>
        <w:tc>
          <w:tcPr>
            <w:tcW w:w="3261" w:type="dxa"/>
            <w:tcBorders>
              <w:top w:val="nil"/>
              <w:left w:val="nil"/>
              <w:bottom w:val="nil"/>
              <w:right w:val="nil"/>
            </w:tcBorders>
            <w:shd w:val="clear" w:color="auto" w:fill="auto"/>
            <w:noWrap/>
            <w:vAlign w:val="center"/>
            <w:hideMark/>
          </w:tcPr>
          <w:p w14:paraId="2EA5EF06" w14:textId="77777777"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CPB duration (min)</w:t>
            </w:r>
          </w:p>
        </w:tc>
        <w:tc>
          <w:tcPr>
            <w:tcW w:w="992" w:type="dxa"/>
            <w:tcBorders>
              <w:top w:val="nil"/>
              <w:left w:val="nil"/>
              <w:bottom w:val="nil"/>
              <w:right w:val="nil"/>
            </w:tcBorders>
            <w:shd w:val="clear" w:color="auto" w:fill="auto"/>
            <w:noWrap/>
            <w:vAlign w:val="center"/>
            <w:hideMark/>
          </w:tcPr>
          <w:p w14:paraId="2ECF9305"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0.014</w:t>
            </w:r>
          </w:p>
        </w:tc>
        <w:tc>
          <w:tcPr>
            <w:tcW w:w="2453" w:type="dxa"/>
            <w:tcBorders>
              <w:top w:val="nil"/>
              <w:left w:val="nil"/>
              <w:bottom w:val="nil"/>
              <w:right w:val="nil"/>
            </w:tcBorders>
            <w:shd w:val="clear" w:color="auto" w:fill="auto"/>
            <w:noWrap/>
            <w:vAlign w:val="center"/>
            <w:hideMark/>
          </w:tcPr>
          <w:p w14:paraId="6C47F87C"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1.014 (1.007-1.021)</w:t>
            </w:r>
          </w:p>
        </w:tc>
        <w:tc>
          <w:tcPr>
            <w:tcW w:w="1175" w:type="dxa"/>
            <w:tcBorders>
              <w:top w:val="nil"/>
              <w:left w:val="nil"/>
              <w:bottom w:val="nil"/>
              <w:right w:val="nil"/>
            </w:tcBorders>
            <w:shd w:val="clear" w:color="auto" w:fill="auto"/>
            <w:noWrap/>
            <w:vAlign w:val="center"/>
            <w:hideMark/>
          </w:tcPr>
          <w:p w14:paraId="2014ACCD"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&lt;0.001</w:t>
            </w:r>
          </w:p>
        </w:tc>
      </w:tr>
      <w:tr w:rsidR="00191040" w:rsidRPr="002A16D9" w14:paraId="02C5B57B" w14:textId="77777777" w:rsidTr="00B32AF4">
        <w:trPr>
          <w:trHeight w:val="312"/>
        </w:trPr>
        <w:tc>
          <w:tcPr>
            <w:tcW w:w="3261" w:type="dxa"/>
            <w:tcBorders>
              <w:top w:val="nil"/>
              <w:left w:val="nil"/>
              <w:bottom w:val="nil"/>
              <w:right w:val="nil"/>
            </w:tcBorders>
            <w:shd w:val="clear" w:color="auto" w:fill="auto"/>
            <w:noWrap/>
            <w:vAlign w:val="center"/>
            <w:hideMark/>
          </w:tcPr>
          <w:p w14:paraId="371538A7" w14:textId="77777777"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Operation length (min)</w:t>
            </w:r>
          </w:p>
        </w:tc>
        <w:tc>
          <w:tcPr>
            <w:tcW w:w="992" w:type="dxa"/>
            <w:tcBorders>
              <w:top w:val="nil"/>
              <w:left w:val="nil"/>
              <w:bottom w:val="nil"/>
              <w:right w:val="nil"/>
            </w:tcBorders>
            <w:shd w:val="clear" w:color="auto" w:fill="auto"/>
            <w:noWrap/>
            <w:vAlign w:val="center"/>
            <w:hideMark/>
          </w:tcPr>
          <w:p w14:paraId="442B2686"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0.007</w:t>
            </w:r>
          </w:p>
        </w:tc>
        <w:tc>
          <w:tcPr>
            <w:tcW w:w="2453" w:type="dxa"/>
            <w:tcBorders>
              <w:top w:val="nil"/>
              <w:left w:val="nil"/>
              <w:bottom w:val="nil"/>
              <w:right w:val="nil"/>
            </w:tcBorders>
            <w:shd w:val="clear" w:color="auto" w:fill="auto"/>
            <w:noWrap/>
            <w:vAlign w:val="center"/>
            <w:hideMark/>
          </w:tcPr>
          <w:p w14:paraId="4671C3F0"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1.007 (1.004-1.011)</w:t>
            </w:r>
          </w:p>
        </w:tc>
        <w:tc>
          <w:tcPr>
            <w:tcW w:w="1175" w:type="dxa"/>
            <w:tcBorders>
              <w:top w:val="nil"/>
              <w:left w:val="nil"/>
              <w:bottom w:val="nil"/>
              <w:right w:val="nil"/>
            </w:tcBorders>
            <w:shd w:val="clear" w:color="auto" w:fill="auto"/>
            <w:noWrap/>
            <w:vAlign w:val="center"/>
            <w:hideMark/>
          </w:tcPr>
          <w:p w14:paraId="15769F30"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&lt;0.001</w:t>
            </w:r>
          </w:p>
        </w:tc>
      </w:tr>
      <w:tr w:rsidR="00191040" w:rsidRPr="002A16D9" w14:paraId="7DB8F507" w14:textId="77777777" w:rsidTr="00B32AF4">
        <w:trPr>
          <w:trHeight w:val="312"/>
        </w:trPr>
        <w:tc>
          <w:tcPr>
            <w:tcW w:w="3261" w:type="dxa"/>
            <w:tcBorders>
              <w:top w:val="nil"/>
              <w:left w:val="nil"/>
              <w:bottom w:val="nil"/>
              <w:right w:val="nil"/>
            </w:tcBorders>
            <w:shd w:val="clear" w:color="auto" w:fill="auto"/>
            <w:noWrap/>
            <w:vAlign w:val="center"/>
            <w:hideMark/>
          </w:tcPr>
          <w:p w14:paraId="75CFD645" w14:textId="65C203F8"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Donor age (y</w:t>
            </w:r>
            <w:r w:rsidR="00B32AF4">
              <w:rPr>
                <w:rFonts w:ascii="Arial" w:eastAsia="等线" w:hAnsi="Arial" w:cs="Arial"/>
                <w:color w:val="000000"/>
                <w:kern w:val="0"/>
                <w:sz w:val="20"/>
                <w:szCs w:val="20"/>
              </w:rPr>
              <w:t>ea</w:t>
            </w:r>
            <w:r w:rsidRPr="002A16D9">
              <w:rPr>
                <w:rFonts w:ascii="Arial" w:eastAsia="等线" w:hAnsi="Arial" w:cs="Arial"/>
                <w:color w:val="000000"/>
                <w:kern w:val="0"/>
                <w:sz w:val="20"/>
                <w:szCs w:val="20"/>
              </w:rPr>
              <w:t>r)</w:t>
            </w:r>
          </w:p>
        </w:tc>
        <w:tc>
          <w:tcPr>
            <w:tcW w:w="992" w:type="dxa"/>
            <w:tcBorders>
              <w:top w:val="nil"/>
              <w:left w:val="nil"/>
              <w:bottom w:val="nil"/>
              <w:right w:val="nil"/>
            </w:tcBorders>
            <w:shd w:val="clear" w:color="auto" w:fill="auto"/>
            <w:noWrap/>
            <w:vAlign w:val="center"/>
            <w:hideMark/>
          </w:tcPr>
          <w:p w14:paraId="415C03D0"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0-0.001</w:t>
            </w:r>
          </w:p>
        </w:tc>
        <w:tc>
          <w:tcPr>
            <w:tcW w:w="2453" w:type="dxa"/>
            <w:tcBorders>
              <w:top w:val="nil"/>
              <w:left w:val="nil"/>
              <w:bottom w:val="nil"/>
              <w:right w:val="nil"/>
            </w:tcBorders>
            <w:shd w:val="clear" w:color="auto" w:fill="auto"/>
            <w:noWrap/>
            <w:vAlign w:val="center"/>
            <w:hideMark/>
          </w:tcPr>
          <w:p w14:paraId="020B1EF4"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1.000 (0.977-1.024)</w:t>
            </w:r>
          </w:p>
        </w:tc>
        <w:tc>
          <w:tcPr>
            <w:tcW w:w="1175" w:type="dxa"/>
            <w:tcBorders>
              <w:top w:val="nil"/>
              <w:left w:val="nil"/>
              <w:bottom w:val="nil"/>
              <w:right w:val="nil"/>
            </w:tcBorders>
            <w:shd w:val="clear" w:color="auto" w:fill="auto"/>
            <w:noWrap/>
            <w:vAlign w:val="center"/>
            <w:hideMark/>
          </w:tcPr>
          <w:p w14:paraId="7FAF28B0"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0.976</w:t>
            </w:r>
          </w:p>
        </w:tc>
      </w:tr>
      <w:tr w:rsidR="00191040" w:rsidRPr="002A16D9" w14:paraId="1360D8BA" w14:textId="77777777" w:rsidTr="00B32AF4">
        <w:trPr>
          <w:trHeight w:val="312"/>
        </w:trPr>
        <w:tc>
          <w:tcPr>
            <w:tcW w:w="3261" w:type="dxa"/>
            <w:tcBorders>
              <w:top w:val="nil"/>
              <w:left w:val="nil"/>
              <w:bottom w:val="nil"/>
              <w:right w:val="nil"/>
            </w:tcBorders>
            <w:shd w:val="clear" w:color="auto" w:fill="auto"/>
            <w:noWrap/>
            <w:vAlign w:val="center"/>
            <w:hideMark/>
          </w:tcPr>
          <w:p w14:paraId="3B9CFF82" w14:textId="4848B3EC" w:rsidR="00191040" w:rsidRPr="002A16D9" w:rsidRDefault="00B32AF4" w:rsidP="00231415">
            <w:pPr>
              <w:widowControl/>
              <w:jc w:val="left"/>
              <w:rPr>
                <w:rFonts w:ascii="Arial" w:eastAsia="等线" w:hAnsi="Arial" w:cs="Arial"/>
                <w:color w:val="000000"/>
                <w:kern w:val="0"/>
                <w:sz w:val="20"/>
                <w:szCs w:val="20"/>
              </w:rPr>
            </w:pPr>
            <w:r>
              <w:rPr>
                <w:rFonts w:ascii="Arial" w:eastAsia="等线" w:hAnsi="Arial" w:cs="Arial"/>
                <w:color w:val="000000"/>
                <w:kern w:val="0"/>
                <w:sz w:val="20"/>
                <w:szCs w:val="20"/>
              </w:rPr>
              <w:t>Male d</w:t>
            </w:r>
            <w:r w:rsidR="00191040" w:rsidRPr="002A16D9">
              <w:rPr>
                <w:rFonts w:ascii="Arial" w:eastAsia="等线" w:hAnsi="Arial" w:cs="Arial"/>
                <w:color w:val="000000"/>
                <w:kern w:val="0"/>
                <w:sz w:val="20"/>
                <w:szCs w:val="20"/>
              </w:rPr>
              <w:t>onor</w:t>
            </w:r>
          </w:p>
        </w:tc>
        <w:tc>
          <w:tcPr>
            <w:tcW w:w="992" w:type="dxa"/>
            <w:tcBorders>
              <w:top w:val="nil"/>
              <w:left w:val="nil"/>
              <w:bottom w:val="nil"/>
              <w:right w:val="nil"/>
            </w:tcBorders>
            <w:shd w:val="clear" w:color="auto" w:fill="auto"/>
            <w:noWrap/>
            <w:vAlign w:val="center"/>
            <w:hideMark/>
          </w:tcPr>
          <w:p w14:paraId="110302B5"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-1.028</w:t>
            </w:r>
          </w:p>
        </w:tc>
        <w:tc>
          <w:tcPr>
            <w:tcW w:w="2453" w:type="dxa"/>
            <w:tcBorders>
              <w:top w:val="nil"/>
              <w:left w:val="nil"/>
              <w:bottom w:val="nil"/>
              <w:right w:val="nil"/>
            </w:tcBorders>
            <w:shd w:val="clear" w:color="auto" w:fill="auto"/>
            <w:noWrap/>
            <w:vAlign w:val="center"/>
            <w:hideMark/>
          </w:tcPr>
          <w:p w14:paraId="3B8BA37C"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0.358 (0.106-1.208)</w:t>
            </w:r>
          </w:p>
        </w:tc>
        <w:tc>
          <w:tcPr>
            <w:tcW w:w="1175" w:type="dxa"/>
            <w:tcBorders>
              <w:top w:val="nil"/>
              <w:left w:val="nil"/>
              <w:bottom w:val="nil"/>
              <w:right w:val="nil"/>
            </w:tcBorders>
            <w:shd w:val="clear" w:color="auto" w:fill="auto"/>
            <w:noWrap/>
            <w:vAlign w:val="center"/>
            <w:hideMark/>
          </w:tcPr>
          <w:p w14:paraId="770B9BB1"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0.098</w:t>
            </w:r>
          </w:p>
        </w:tc>
      </w:tr>
      <w:tr w:rsidR="00191040" w:rsidRPr="002A16D9" w14:paraId="7FE94524" w14:textId="77777777" w:rsidTr="00B32AF4">
        <w:trPr>
          <w:trHeight w:val="312"/>
        </w:trPr>
        <w:tc>
          <w:tcPr>
            <w:tcW w:w="3261" w:type="dxa"/>
            <w:tcBorders>
              <w:top w:val="nil"/>
              <w:left w:val="nil"/>
              <w:bottom w:val="nil"/>
              <w:right w:val="nil"/>
            </w:tcBorders>
            <w:shd w:val="clear" w:color="auto" w:fill="auto"/>
            <w:noWrap/>
            <w:vAlign w:val="center"/>
            <w:hideMark/>
          </w:tcPr>
          <w:p w14:paraId="05672221" w14:textId="34A1E7FB"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Donor BMI (kg/m</w:t>
            </w:r>
            <w:r w:rsidRPr="00CF4EF7">
              <w:rPr>
                <w:rFonts w:ascii="Arial" w:eastAsia="等线" w:hAnsi="Arial" w:cs="Arial"/>
                <w:color w:val="000000"/>
                <w:kern w:val="0"/>
                <w:sz w:val="20"/>
                <w:szCs w:val="20"/>
                <w:vertAlign w:val="superscript"/>
              </w:rPr>
              <w:t>2</w:t>
            </w:r>
            <w:r w:rsidRPr="002A16D9">
              <w:rPr>
                <w:rFonts w:ascii="Arial" w:eastAsia="等线" w:hAnsi="Arial" w:cs="Arial"/>
                <w:color w:val="000000"/>
                <w:kern w:val="0"/>
                <w:sz w:val="20"/>
                <w:szCs w:val="20"/>
              </w:rPr>
              <w:t>)</w:t>
            </w:r>
          </w:p>
        </w:tc>
        <w:tc>
          <w:tcPr>
            <w:tcW w:w="992" w:type="dxa"/>
            <w:tcBorders>
              <w:top w:val="nil"/>
              <w:left w:val="nil"/>
              <w:bottom w:val="nil"/>
              <w:right w:val="nil"/>
            </w:tcBorders>
            <w:shd w:val="clear" w:color="auto" w:fill="auto"/>
            <w:noWrap/>
            <w:vAlign w:val="center"/>
            <w:hideMark/>
          </w:tcPr>
          <w:p w14:paraId="6094F532"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-0.042</w:t>
            </w:r>
          </w:p>
        </w:tc>
        <w:tc>
          <w:tcPr>
            <w:tcW w:w="2453" w:type="dxa"/>
            <w:tcBorders>
              <w:top w:val="nil"/>
              <w:left w:val="nil"/>
              <w:bottom w:val="nil"/>
              <w:right w:val="nil"/>
            </w:tcBorders>
            <w:shd w:val="clear" w:color="auto" w:fill="auto"/>
            <w:noWrap/>
            <w:vAlign w:val="center"/>
            <w:hideMark/>
          </w:tcPr>
          <w:p w14:paraId="4D8F7B9F"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0.959 (0.871-1.056)</w:t>
            </w:r>
          </w:p>
        </w:tc>
        <w:tc>
          <w:tcPr>
            <w:tcW w:w="1175" w:type="dxa"/>
            <w:tcBorders>
              <w:top w:val="nil"/>
              <w:left w:val="nil"/>
              <w:bottom w:val="nil"/>
              <w:right w:val="nil"/>
            </w:tcBorders>
            <w:shd w:val="clear" w:color="auto" w:fill="auto"/>
            <w:noWrap/>
            <w:vAlign w:val="center"/>
            <w:hideMark/>
          </w:tcPr>
          <w:p w14:paraId="1486514A"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0.393</w:t>
            </w:r>
          </w:p>
        </w:tc>
      </w:tr>
      <w:tr w:rsidR="00191040" w:rsidRPr="002A16D9" w14:paraId="198C7C5F" w14:textId="77777777" w:rsidTr="00B32AF4">
        <w:trPr>
          <w:trHeight w:val="312"/>
        </w:trPr>
        <w:tc>
          <w:tcPr>
            <w:tcW w:w="3261" w:type="dxa"/>
            <w:tcBorders>
              <w:top w:val="nil"/>
              <w:left w:val="nil"/>
              <w:bottom w:val="nil"/>
              <w:right w:val="nil"/>
            </w:tcBorders>
            <w:shd w:val="clear" w:color="auto" w:fill="auto"/>
            <w:noWrap/>
            <w:vAlign w:val="center"/>
            <w:hideMark/>
          </w:tcPr>
          <w:p w14:paraId="330E7E4D" w14:textId="77777777"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Cold ischemic time (min)</w:t>
            </w:r>
          </w:p>
        </w:tc>
        <w:tc>
          <w:tcPr>
            <w:tcW w:w="992" w:type="dxa"/>
            <w:tcBorders>
              <w:top w:val="nil"/>
              <w:left w:val="nil"/>
              <w:bottom w:val="nil"/>
              <w:right w:val="nil"/>
            </w:tcBorders>
            <w:shd w:val="clear" w:color="auto" w:fill="auto"/>
            <w:noWrap/>
            <w:vAlign w:val="center"/>
            <w:hideMark/>
          </w:tcPr>
          <w:p w14:paraId="4E100C24"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0.001</w:t>
            </w:r>
          </w:p>
        </w:tc>
        <w:tc>
          <w:tcPr>
            <w:tcW w:w="2453" w:type="dxa"/>
            <w:tcBorders>
              <w:top w:val="nil"/>
              <w:left w:val="nil"/>
              <w:bottom w:val="nil"/>
              <w:right w:val="nil"/>
            </w:tcBorders>
            <w:shd w:val="clear" w:color="auto" w:fill="auto"/>
            <w:noWrap/>
            <w:vAlign w:val="center"/>
            <w:hideMark/>
          </w:tcPr>
          <w:p w14:paraId="58AE9572"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1.001 (0.998-1.003)</w:t>
            </w:r>
          </w:p>
        </w:tc>
        <w:tc>
          <w:tcPr>
            <w:tcW w:w="1175" w:type="dxa"/>
            <w:tcBorders>
              <w:top w:val="nil"/>
              <w:left w:val="nil"/>
              <w:bottom w:val="nil"/>
              <w:right w:val="nil"/>
            </w:tcBorders>
            <w:shd w:val="clear" w:color="auto" w:fill="auto"/>
            <w:noWrap/>
            <w:vAlign w:val="center"/>
            <w:hideMark/>
          </w:tcPr>
          <w:p w14:paraId="3CA8247C" w14:textId="77777777" w:rsidR="00191040" w:rsidRPr="002A16D9" w:rsidRDefault="00191040" w:rsidP="00231415">
            <w:pPr>
              <w:widowControl/>
              <w:jc w:val="center"/>
              <w:rPr>
                <w:rFonts w:ascii="Arial" w:eastAsia="等线" w:hAnsi="Arial" w:cs="Arial"/>
                <w:color w:val="000000"/>
                <w:kern w:val="0"/>
                <w:sz w:val="20"/>
                <w:szCs w:val="20"/>
              </w:rPr>
            </w:pPr>
            <w:r w:rsidRPr="002A16D9">
              <w:rPr>
                <w:rFonts w:ascii="Arial" w:eastAsia="等线" w:hAnsi="Arial" w:cs="Arial"/>
                <w:color w:val="000000"/>
                <w:kern w:val="0"/>
                <w:sz w:val="20"/>
                <w:szCs w:val="20"/>
              </w:rPr>
              <w:t>0.677</w:t>
            </w:r>
          </w:p>
        </w:tc>
      </w:tr>
      <w:tr w:rsidR="00191040" w:rsidRPr="002A16D9" w14:paraId="18B982CB" w14:textId="77777777" w:rsidTr="00B32AF4">
        <w:trPr>
          <w:trHeight w:val="1524"/>
        </w:trPr>
        <w:tc>
          <w:tcPr>
            <w:tcW w:w="7881" w:type="dxa"/>
            <w:gridSpan w:val="4"/>
            <w:tcBorders>
              <w:top w:val="single" w:sz="4" w:space="0" w:color="auto"/>
              <w:left w:val="nil"/>
              <w:bottom w:val="nil"/>
              <w:right w:val="nil"/>
            </w:tcBorders>
            <w:shd w:val="clear" w:color="auto" w:fill="auto"/>
            <w:hideMark/>
          </w:tcPr>
          <w:p w14:paraId="2A1F9590" w14:textId="078030E2" w:rsidR="00191040" w:rsidRPr="002A16D9" w:rsidRDefault="00191040" w:rsidP="00231415">
            <w:pPr>
              <w:widowControl/>
              <w:jc w:val="left"/>
              <w:rPr>
                <w:rFonts w:ascii="Arial" w:eastAsia="等线" w:hAnsi="Arial" w:cs="Arial"/>
                <w:color w:val="000000"/>
                <w:kern w:val="0"/>
                <w:sz w:val="20"/>
                <w:szCs w:val="20"/>
              </w:rPr>
            </w:pPr>
            <w:r w:rsidRPr="002A16D9">
              <w:rPr>
                <w:rFonts w:ascii="Arial" w:eastAsia="等线" w:hAnsi="Arial" w:cs="Arial"/>
                <w:color w:val="000000"/>
                <w:kern w:val="0"/>
                <w:sz w:val="20"/>
                <w:szCs w:val="20"/>
              </w:rPr>
              <w:t>Note:  VIS</w:t>
            </w:r>
            <w:r w:rsidRPr="002A16D9">
              <w:rPr>
                <w:rFonts w:ascii="Arial" w:eastAsia="等线" w:hAnsi="Arial" w:cs="Arial"/>
                <w:color w:val="000000"/>
                <w:kern w:val="0"/>
                <w:sz w:val="20"/>
                <w:szCs w:val="20"/>
                <w:vertAlign w:val="subscript"/>
              </w:rPr>
              <w:t>max</w:t>
            </w:r>
            <w:r w:rsidRPr="002A16D9">
              <w:rPr>
                <w:rFonts w:ascii="Arial" w:eastAsia="等线" w:hAnsi="Arial" w:cs="Arial"/>
                <w:color w:val="000000"/>
                <w:kern w:val="0"/>
                <w:sz w:val="20"/>
                <w:szCs w:val="20"/>
              </w:rPr>
              <w:t xml:space="preserve">, </w:t>
            </w:r>
            <w:r w:rsidR="00B32AF4">
              <w:rPr>
                <w:rFonts w:ascii="Arial" w:eastAsia="等线" w:hAnsi="Arial" w:cs="Arial"/>
                <w:color w:val="000000"/>
                <w:kern w:val="0"/>
                <w:sz w:val="20"/>
                <w:szCs w:val="20"/>
              </w:rPr>
              <w:t>maximal</w:t>
            </w:r>
            <w:r w:rsidRPr="002A16D9">
              <w:rPr>
                <w:rFonts w:ascii="Arial" w:eastAsia="等线" w:hAnsi="Arial" w:cs="Arial"/>
                <w:color w:val="000000"/>
                <w:kern w:val="0"/>
                <w:sz w:val="20"/>
                <w:szCs w:val="20"/>
              </w:rPr>
              <w:t xml:space="preserve"> vasoactive-inotropic score; BMI, Body mass index; CPB, Cardiopulmonary bypass. </w:t>
            </w:r>
          </w:p>
        </w:tc>
      </w:tr>
    </w:tbl>
    <w:p w14:paraId="51899DC4" w14:textId="77777777" w:rsidR="00202EF7" w:rsidRPr="00191040" w:rsidRDefault="00202EF7" w:rsidP="005F020C">
      <w:pPr>
        <w:spacing w:line="480" w:lineRule="auto"/>
        <w:rPr>
          <w:rFonts w:ascii="Arial" w:hAnsi="Arial" w:cs="Arial"/>
        </w:rPr>
      </w:pPr>
    </w:p>
    <w:p w14:paraId="18D8D515" w14:textId="77777777" w:rsidR="00202EF7" w:rsidRPr="005F020C" w:rsidRDefault="00202EF7" w:rsidP="005F020C">
      <w:pPr>
        <w:rPr>
          <w:rFonts w:ascii="Arial" w:hAnsi="Arial" w:cs="Arial"/>
        </w:rPr>
      </w:pPr>
    </w:p>
    <w:p w14:paraId="517339A8" w14:textId="77777777" w:rsidR="00202EF7" w:rsidRPr="005F020C" w:rsidRDefault="00202EF7" w:rsidP="005F020C">
      <w:pPr>
        <w:widowControl/>
        <w:jc w:val="left"/>
        <w:rPr>
          <w:rFonts w:ascii="Arial" w:hAnsi="Arial" w:cs="Arial"/>
        </w:rPr>
      </w:pPr>
      <w:r w:rsidRPr="005F020C">
        <w:rPr>
          <w:rFonts w:ascii="Arial" w:hAnsi="Arial" w:cs="Arial"/>
        </w:rPr>
        <w:br w:type="page"/>
      </w:r>
    </w:p>
    <w:tbl>
      <w:tblPr>
        <w:tblW w:w="7095" w:type="dxa"/>
        <w:tblLook w:val="04A0" w:firstRow="1" w:lastRow="0" w:firstColumn="1" w:lastColumn="0" w:noHBand="0" w:noVBand="1"/>
      </w:tblPr>
      <w:tblGrid>
        <w:gridCol w:w="3119"/>
        <w:gridCol w:w="851"/>
        <w:gridCol w:w="2113"/>
        <w:gridCol w:w="729"/>
        <w:gridCol w:w="283"/>
      </w:tblGrid>
      <w:tr w:rsidR="00202EF7" w:rsidRPr="005F020C" w14:paraId="26B19FBB" w14:textId="77777777" w:rsidTr="00403E72">
        <w:trPr>
          <w:gridAfter w:val="1"/>
          <w:wAfter w:w="283" w:type="dxa"/>
          <w:trHeight w:val="624"/>
        </w:trPr>
        <w:tc>
          <w:tcPr>
            <w:tcW w:w="6812" w:type="dxa"/>
            <w:gridSpan w:val="4"/>
            <w:tcBorders>
              <w:top w:val="nil"/>
              <w:left w:val="nil"/>
              <w:bottom w:val="single" w:sz="4" w:space="0" w:color="auto"/>
              <w:right w:val="nil"/>
            </w:tcBorders>
            <w:shd w:val="clear" w:color="auto" w:fill="auto"/>
            <w:vAlign w:val="center"/>
            <w:hideMark/>
          </w:tcPr>
          <w:p w14:paraId="4C77B042" w14:textId="14DE61AC" w:rsidR="00202EF7" w:rsidRPr="005F020C" w:rsidRDefault="00202EF7" w:rsidP="005F020C">
            <w:pPr>
              <w:widowControl/>
              <w:jc w:val="center"/>
              <w:rPr>
                <w:rFonts w:ascii="Arial" w:eastAsia="等线" w:hAnsi="Arial" w:cs="Arial"/>
                <w:b/>
                <w:bCs/>
                <w:color w:val="000000"/>
                <w:kern w:val="0"/>
                <w:sz w:val="22"/>
              </w:rPr>
            </w:pPr>
            <w:r w:rsidRPr="005F020C">
              <w:rPr>
                <w:rFonts w:ascii="Arial" w:eastAsia="等线" w:hAnsi="Arial" w:cs="Arial"/>
                <w:b/>
                <w:bCs/>
                <w:color w:val="000000"/>
                <w:kern w:val="0"/>
                <w:sz w:val="22"/>
              </w:rPr>
              <w:lastRenderedPageBreak/>
              <w:t>Table S2 Control multivariate logistic model predicting severe</w:t>
            </w:r>
            <w:r w:rsidR="00994BE1">
              <w:rPr>
                <w:rFonts w:ascii="Arial" w:eastAsia="等线" w:hAnsi="Arial" w:cs="Arial"/>
                <w:b/>
                <w:bCs/>
                <w:color w:val="000000"/>
                <w:kern w:val="0"/>
                <w:sz w:val="22"/>
              </w:rPr>
              <w:t xml:space="preserve"> adverse </w:t>
            </w:r>
            <w:r w:rsidRPr="005F020C">
              <w:rPr>
                <w:rFonts w:ascii="Arial" w:eastAsia="等线" w:hAnsi="Arial" w:cs="Arial"/>
                <w:b/>
                <w:bCs/>
                <w:color w:val="000000"/>
                <w:kern w:val="0"/>
                <w:sz w:val="22"/>
              </w:rPr>
              <w:t>outcome after heart transplantation</w:t>
            </w:r>
          </w:p>
        </w:tc>
      </w:tr>
      <w:tr w:rsidR="00202EF7" w:rsidRPr="005F020C" w14:paraId="35743915" w14:textId="77777777" w:rsidTr="008776C2">
        <w:trPr>
          <w:trHeight w:val="300"/>
        </w:trPr>
        <w:tc>
          <w:tcPr>
            <w:tcW w:w="3119" w:type="dxa"/>
            <w:tcBorders>
              <w:top w:val="nil"/>
              <w:left w:val="nil"/>
              <w:bottom w:val="single" w:sz="4" w:space="0" w:color="auto"/>
              <w:right w:val="nil"/>
            </w:tcBorders>
            <w:shd w:val="clear" w:color="auto" w:fill="auto"/>
            <w:noWrap/>
            <w:vAlign w:val="center"/>
            <w:hideMark/>
          </w:tcPr>
          <w:p w14:paraId="074994EA" w14:textId="77777777" w:rsidR="00202EF7" w:rsidRPr="005F020C" w:rsidRDefault="00202EF7" w:rsidP="005F020C">
            <w:pPr>
              <w:widowControl/>
              <w:jc w:val="left"/>
              <w:rPr>
                <w:rFonts w:ascii="Arial" w:eastAsia="等线" w:hAnsi="Arial" w:cs="Arial"/>
                <w:b/>
                <w:bCs/>
                <w:color w:val="000000"/>
                <w:kern w:val="0"/>
                <w:sz w:val="20"/>
                <w:szCs w:val="20"/>
              </w:rPr>
            </w:pPr>
            <w:r w:rsidRPr="005F020C">
              <w:rPr>
                <w:rFonts w:ascii="Arial" w:eastAsia="等线" w:hAnsi="Arial" w:cs="Arial"/>
                <w:b/>
                <w:bCs/>
                <w:color w:val="000000"/>
                <w:kern w:val="0"/>
                <w:sz w:val="20"/>
                <w:szCs w:val="20"/>
              </w:rPr>
              <w:t>Variables</w:t>
            </w:r>
          </w:p>
        </w:tc>
        <w:tc>
          <w:tcPr>
            <w:tcW w:w="851" w:type="dxa"/>
            <w:tcBorders>
              <w:top w:val="nil"/>
              <w:left w:val="nil"/>
              <w:bottom w:val="single" w:sz="4" w:space="0" w:color="auto"/>
              <w:right w:val="nil"/>
            </w:tcBorders>
            <w:shd w:val="clear" w:color="auto" w:fill="auto"/>
            <w:noWrap/>
            <w:vAlign w:val="center"/>
            <w:hideMark/>
          </w:tcPr>
          <w:p w14:paraId="2CE28F87" w14:textId="77777777" w:rsidR="00202EF7" w:rsidRPr="005F020C" w:rsidRDefault="00202EF7" w:rsidP="005F020C">
            <w:pPr>
              <w:widowControl/>
              <w:jc w:val="center"/>
              <w:rPr>
                <w:rFonts w:ascii="Arial" w:eastAsia="等线" w:hAnsi="Arial" w:cs="Arial"/>
                <w:b/>
                <w:bCs/>
                <w:color w:val="000000"/>
                <w:kern w:val="0"/>
                <w:sz w:val="20"/>
                <w:szCs w:val="20"/>
              </w:rPr>
            </w:pPr>
            <w:r w:rsidRPr="005F020C">
              <w:rPr>
                <w:rFonts w:ascii="Arial" w:eastAsia="等线" w:hAnsi="Arial" w:cs="Arial"/>
                <w:b/>
                <w:bCs/>
                <w:color w:val="000000"/>
                <w:kern w:val="0"/>
                <w:sz w:val="20"/>
                <w:szCs w:val="20"/>
              </w:rPr>
              <w:t>β</w:t>
            </w:r>
          </w:p>
        </w:tc>
        <w:tc>
          <w:tcPr>
            <w:tcW w:w="2113" w:type="dxa"/>
            <w:tcBorders>
              <w:top w:val="nil"/>
              <w:left w:val="nil"/>
              <w:bottom w:val="single" w:sz="4" w:space="0" w:color="auto"/>
              <w:right w:val="nil"/>
            </w:tcBorders>
            <w:shd w:val="clear" w:color="auto" w:fill="auto"/>
            <w:noWrap/>
            <w:vAlign w:val="center"/>
            <w:hideMark/>
          </w:tcPr>
          <w:p w14:paraId="0AA90291" w14:textId="77777777" w:rsidR="00202EF7" w:rsidRPr="005F020C" w:rsidRDefault="00202EF7" w:rsidP="005F020C">
            <w:pPr>
              <w:widowControl/>
              <w:jc w:val="center"/>
              <w:rPr>
                <w:rFonts w:ascii="Arial" w:eastAsia="等线" w:hAnsi="Arial" w:cs="Arial"/>
                <w:b/>
                <w:bCs/>
                <w:color w:val="000000"/>
                <w:kern w:val="0"/>
                <w:sz w:val="20"/>
                <w:szCs w:val="20"/>
              </w:rPr>
            </w:pPr>
            <w:r w:rsidRPr="005F020C">
              <w:rPr>
                <w:rFonts w:ascii="Arial" w:eastAsia="等线" w:hAnsi="Arial" w:cs="Arial"/>
                <w:b/>
                <w:bCs/>
                <w:color w:val="000000"/>
                <w:kern w:val="0"/>
                <w:sz w:val="20"/>
                <w:szCs w:val="20"/>
              </w:rPr>
              <w:t>Odds ratio (95% CI)</w:t>
            </w:r>
          </w:p>
        </w:tc>
        <w:tc>
          <w:tcPr>
            <w:tcW w:w="1012" w:type="dxa"/>
            <w:gridSpan w:val="2"/>
            <w:tcBorders>
              <w:top w:val="single" w:sz="4" w:space="0" w:color="auto"/>
              <w:left w:val="nil"/>
              <w:bottom w:val="single" w:sz="4" w:space="0" w:color="auto"/>
              <w:right w:val="nil"/>
            </w:tcBorders>
            <w:shd w:val="clear" w:color="auto" w:fill="auto"/>
            <w:noWrap/>
            <w:vAlign w:val="center"/>
            <w:hideMark/>
          </w:tcPr>
          <w:p w14:paraId="10D423F5" w14:textId="77777777" w:rsidR="00202EF7" w:rsidRPr="005F020C" w:rsidRDefault="00202EF7" w:rsidP="005F020C">
            <w:pPr>
              <w:widowControl/>
              <w:jc w:val="center"/>
              <w:rPr>
                <w:rFonts w:ascii="Arial" w:eastAsia="等线" w:hAnsi="Arial" w:cs="Arial"/>
                <w:b/>
                <w:bCs/>
                <w:color w:val="000000"/>
                <w:kern w:val="0"/>
                <w:sz w:val="20"/>
                <w:szCs w:val="20"/>
              </w:rPr>
            </w:pPr>
            <w:r w:rsidRPr="005F020C">
              <w:rPr>
                <w:rFonts w:ascii="Arial" w:eastAsia="等线" w:hAnsi="Arial" w:cs="Arial"/>
                <w:b/>
                <w:bCs/>
                <w:color w:val="000000"/>
                <w:kern w:val="0"/>
                <w:sz w:val="20"/>
                <w:szCs w:val="20"/>
              </w:rPr>
              <w:t>P-value</w:t>
            </w:r>
          </w:p>
        </w:tc>
      </w:tr>
      <w:tr w:rsidR="00202EF7" w:rsidRPr="005F020C" w14:paraId="34E39B68" w14:textId="77777777" w:rsidTr="00403E72">
        <w:trPr>
          <w:trHeight w:val="300"/>
        </w:trPr>
        <w:tc>
          <w:tcPr>
            <w:tcW w:w="3119" w:type="dxa"/>
            <w:tcBorders>
              <w:top w:val="nil"/>
              <w:left w:val="nil"/>
              <w:bottom w:val="nil"/>
              <w:right w:val="nil"/>
            </w:tcBorders>
            <w:shd w:val="clear" w:color="auto" w:fill="auto"/>
            <w:noWrap/>
            <w:vAlign w:val="center"/>
            <w:hideMark/>
          </w:tcPr>
          <w:p w14:paraId="46BEB49E" w14:textId="5C14CF0A" w:rsidR="00202EF7" w:rsidRPr="005F020C" w:rsidRDefault="00403E72" w:rsidP="005F020C">
            <w:pPr>
              <w:widowControl/>
              <w:jc w:val="left"/>
              <w:rPr>
                <w:rFonts w:ascii="Arial" w:eastAsia="等线" w:hAnsi="Arial" w:cs="Arial"/>
                <w:color w:val="000000"/>
                <w:kern w:val="0"/>
                <w:sz w:val="20"/>
                <w:szCs w:val="20"/>
              </w:rPr>
            </w:pPr>
            <w:r>
              <w:rPr>
                <w:rFonts w:ascii="Arial" w:eastAsia="等线" w:hAnsi="Arial" w:cs="Arial"/>
                <w:color w:val="000000"/>
                <w:kern w:val="0"/>
                <w:sz w:val="20"/>
                <w:szCs w:val="20"/>
              </w:rPr>
              <w:t>Hemoglobin</w:t>
            </w:r>
            <w:r w:rsidR="00202EF7" w:rsidRPr="005F020C">
              <w:rPr>
                <w:rFonts w:ascii="Arial" w:eastAsia="等线" w:hAnsi="Arial" w:cs="Arial"/>
                <w:color w:val="000000"/>
                <w:kern w:val="0"/>
                <w:sz w:val="20"/>
                <w:szCs w:val="20"/>
              </w:rPr>
              <w:t xml:space="preserve"> (g/L)</w:t>
            </w:r>
          </w:p>
        </w:tc>
        <w:tc>
          <w:tcPr>
            <w:tcW w:w="851" w:type="dxa"/>
            <w:tcBorders>
              <w:top w:val="nil"/>
              <w:left w:val="nil"/>
              <w:bottom w:val="nil"/>
              <w:right w:val="nil"/>
            </w:tcBorders>
            <w:shd w:val="clear" w:color="auto" w:fill="auto"/>
            <w:noWrap/>
            <w:vAlign w:val="center"/>
            <w:hideMark/>
          </w:tcPr>
          <w:p w14:paraId="1D23F102" w14:textId="77777777" w:rsidR="00202EF7" w:rsidRPr="005F020C" w:rsidRDefault="00202EF7" w:rsidP="005F020C">
            <w:pPr>
              <w:widowControl/>
              <w:jc w:val="center"/>
              <w:rPr>
                <w:rFonts w:ascii="Arial" w:eastAsia="等线" w:hAnsi="Arial" w:cs="Arial"/>
                <w:color w:val="000000"/>
                <w:kern w:val="0"/>
                <w:sz w:val="20"/>
                <w:szCs w:val="20"/>
              </w:rPr>
            </w:pPr>
            <w:r w:rsidRPr="005F020C">
              <w:rPr>
                <w:rFonts w:ascii="Arial" w:eastAsia="等线" w:hAnsi="Arial" w:cs="Arial"/>
                <w:color w:val="000000"/>
                <w:kern w:val="0"/>
                <w:sz w:val="20"/>
                <w:szCs w:val="20"/>
              </w:rPr>
              <w:t xml:space="preserve">-0.018 </w:t>
            </w:r>
          </w:p>
        </w:tc>
        <w:tc>
          <w:tcPr>
            <w:tcW w:w="2113" w:type="dxa"/>
            <w:tcBorders>
              <w:top w:val="nil"/>
              <w:left w:val="nil"/>
              <w:bottom w:val="nil"/>
              <w:right w:val="nil"/>
            </w:tcBorders>
            <w:shd w:val="clear" w:color="auto" w:fill="auto"/>
            <w:noWrap/>
            <w:vAlign w:val="center"/>
            <w:hideMark/>
          </w:tcPr>
          <w:p w14:paraId="06E1AAE1" w14:textId="77777777" w:rsidR="00202EF7" w:rsidRPr="005F020C" w:rsidRDefault="00202EF7" w:rsidP="005F020C">
            <w:pPr>
              <w:widowControl/>
              <w:jc w:val="center"/>
              <w:rPr>
                <w:rFonts w:ascii="Arial" w:eastAsia="等线" w:hAnsi="Arial" w:cs="Arial"/>
                <w:color w:val="000000"/>
                <w:kern w:val="0"/>
                <w:sz w:val="20"/>
                <w:szCs w:val="20"/>
              </w:rPr>
            </w:pPr>
            <w:r w:rsidRPr="005F020C">
              <w:rPr>
                <w:rFonts w:ascii="Arial" w:eastAsia="等线" w:hAnsi="Arial" w:cs="Arial"/>
                <w:color w:val="000000"/>
                <w:kern w:val="0"/>
                <w:sz w:val="20"/>
                <w:szCs w:val="20"/>
              </w:rPr>
              <w:t>0.982 (0.968-0.997)</w:t>
            </w:r>
          </w:p>
        </w:tc>
        <w:tc>
          <w:tcPr>
            <w:tcW w:w="1012" w:type="dxa"/>
            <w:gridSpan w:val="2"/>
            <w:tcBorders>
              <w:top w:val="nil"/>
              <w:left w:val="nil"/>
              <w:bottom w:val="nil"/>
              <w:right w:val="nil"/>
            </w:tcBorders>
            <w:shd w:val="clear" w:color="auto" w:fill="auto"/>
            <w:noWrap/>
            <w:vAlign w:val="center"/>
            <w:hideMark/>
          </w:tcPr>
          <w:p w14:paraId="1A65225A" w14:textId="77777777" w:rsidR="00202EF7" w:rsidRPr="005F020C" w:rsidRDefault="00202EF7" w:rsidP="005F020C">
            <w:pPr>
              <w:widowControl/>
              <w:jc w:val="center"/>
              <w:rPr>
                <w:rFonts w:ascii="Arial" w:eastAsia="等线" w:hAnsi="Arial" w:cs="Arial"/>
                <w:color w:val="000000"/>
                <w:kern w:val="0"/>
                <w:sz w:val="20"/>
                <w:szCs w:val="20"/>
              </w:rPr>
            </w:pPr>
            <w:r w:rsidRPr="005F020C">
              <w:rPr>
                <w:rFonts w:ascii="Arial" w:eastAsia="等线" w:hAnsi="Arial" w:cs="Arial"/>
                <w:color w:val="000000"/>
                <w:kern w:val="0"/>
                <w:sz w:val="20"/>
                <w:szCs w:val="20"/>
              </w:rPr>
              <w:t xml:space="preserve">0.015 </w:t>
            </w:r>
          </w:p>
        </w:tc>
      </w:tr>
      <w:tr w:rsidR="00202EF7" w:rsidRPr="005F020C" w14:paraId="0F434C39" w14:textId="77777777" w:rsidTr="00403E72">
        <w:trPr>
          <w:trHeight w:val="300"/>
        </w:trPr>
        <w:tc>
          <w:tcPr>
            <w:tcW w:w="3119" w:type="dxa"/>
            <w:tcBorders>
              <w:top w:val="nil"/>
              <w:left w:val="nil"/>
              <w:bottom w:val="nil"/>
              <w:right w:val="nil"/>
            </w:tcBorders>
            <w:shd w:val="clear" w:color="auto" w:fill="auto"/>
            <w:noWrap/>
            <w:vAlign w:val="center"/>
            <w:hideMark/>
          </w:tcPr>
          <w:p w14:paraId="1ACDADEA" w14:textId="49615472" w:rsidR="00202EF7" w:rsidRPr="005F020C" w:rsidRDefault="00403E72" w:rsidP="005F020C">
            <w:pPr>
              <w:widowControl/>
              <w:jc w:val="left"/>
              <w:rPr>
                <w:rFonts w:ascii="Arial" w:eastAsia="等线" w:hAnsi="Arial" w:cs="Arial"/>
                <w:color w:val="000000"/>
                <w:kern w:val="0"/>
                <w:sz w:val="20"/>
                <w:szCs w:val="20"/>
              </w:rPr>
            </w:pPr>
            <w:r>
              <w:rPr>
                <w:rFonts w:ascii="Arial" w:eastAsia="等线" w:hAnsi="Arial" w:cs="Arial"/>
                <w:color w:val="000000"/>
                <w:kern w:val="0"/>
                <w:sz w:val="20"/>
                <w:szCs w:val="20"/>
              </w:rPr>
              <w:t>Serum creatinine</w:t>
            </w:r>
            <w:r w:rsidR="00202EF7" w:rsidRPr="005F020C">
              <w:rPr>
                <w:rFonts w:ascii="Arial" w:eastAsia="等线" w:hAnsi="Arial" w:cs="Arial"/>
                <w:color w:val="000000"/>
                <w:kern w:val="0"/>
                <w:sz w:val="20"/>
                <w:szCs w:val="20"/>
              </w:rPr>
              <w:t xml:space="preserve"> (μmol/L)</w:t>
            </w:r>
          </w:p>
        </w:tc>
        <w:tc>
          <w:tcPr>
            <w:tcW w:w="851" w:type="dxa"/>
            <w:tcBorders>
              <w:top w:val="nil"/>
              <w:left w:val="nil"/>
              <w:bottom w:val="nil"/>
              <w:right w:val="nil"/>
            </w:tcBorders>
            <w:shd w:val="clear" w:color="auto" w:fill="auto"/>
            <w:noWrap/>
            <w:vAlign w:val="center"/>
            <w:hideMark/>
          </w:tcPr>
          <w:p w14:paraId="5F95A846" w14:textId="77777777" w:rsidR="00202EF7" w:rsidRPr="005F020C" w:rsidRDefault="00202EF7" w:rsidP="005F020C">
            <w:pPr>
              <w:widowControl/>
              <w:jc w:val="center"/>
              <w:rPr>
                <w:rFonts w:ascii="Arial" w:eastAsia="等线" w:hAnsi="Arial" w:cs="Arial"/>
                <w:color w:val="000000"/>
                <w:kern w:val="0"/>
                <w:sz w:val="20"/>
                <w:szCs w:val="20"/>
              </w:rPr>
            </w:pPr>
            <w:r w:rsidRPr="005F020C">
              <w:rPr>
                <w:rFonts w:ascii="Arial" w:eastAsia="等线" w:hAnsi="Arial" w:cs="Arial"/>
                <w:color w:val="000000"/>
                <w:kern w:val="0"/>
                <w:sz w:val="20"/>
                <w:szCs w:val="20"/>
              </w:rPr>
              <w:t xml:space="preserve">0.012 </w:t>
            </w:r>
          </w:p>
        </w:tc>
        <w:tc>
          <w:tcPr>
            <w:tcW w:w="2113" w:type="dxa"/>
            <w:tcBorders>
              <w:top w:val="nil"/>
              <w:left w:val="nil"/>
              <w:bottom w:val="nil"/>
              <w:right w:val="nil"/>
            </w:tcBorders>
            <w:shd w:val="clear" w:color="auto" w:fill="auto"/>
            <w:noWrap/>
            <w:vAlign w:val="center"/>
            <w:hideMark/>
          </w:tcPr>
          <w:p w14:paraId="0B655D19" w14:textId="77777777" w:rsidR="00202EF7" w:rsidRPr="005F020C" w:rsidRDefault="00202EF7" w:rsidP="005F020C">
            <w:pPr>
              <w:widowControl/>
              <w:jc w:val="center"/>
              <w:rPr>
                <w:rFonts w:ascii="Arial" w:eastAsia="等线" w:hAnsi="Arial" w:cs="Arial"/>
                <w:color w:val="000000"/>
                <w:kern w:val="0"/>
                <w:sz w:val="20"/>
                <w:szCs w:val="20"/>
              </w:rPr>
            </w:pPr>
            <w:r w:rsidRPr="005F020C">
              <w:rPr>
                <w:rFonts w:ascii="Arial" w:eastAsia="等线" w:hAnsi="Arial" w:cs="Arial"/>
                <w:color w:val="000000"/>
                <w:kern w:val="0"/>
                <w:sz w:val="20"/>
                <w:szCs w:val="20"/>
              </w:rPr>
              <w:t>1.012 (1.005-1.019)</w:t>
            </w:r>
          </w:p>
        </w:tc>
        <w:tc>
          <w:tcPr>
            <w:tcW w:w="1012" w:type="dxa"/>
            <w:gridSpan w:val="2"/>
            <w:tcBorders>
              <w:top w:val="nil"/>
              <w:left w:val="nil"/>
              <w:bottom w:val="nil"/>
              <w:right w:val="nil"/>
            </w:tcBorders>
            <w:shd w:val="clear" w:color="auto" w:fill="auto"/>
            <w:noWrap/>
            <w:vAlign w:val="center"/>
            <w:hideMark/>
          </w:tcPr>
          <w:p w14:paraId="4AB14F7D" w14:textId="77777777" w:rsidR="00202EF7" w:rsidRPr="005F020C" w:rsidRDefault="00202EF7" w:rsidP="005F020C">
            <w:pPr>
              <w:widowControl/>
              <w:jc w:val="center"/>
              <w:rPr>
                <w:rFonts w:ascii="Arial" w:eastAsia="等线" w:hAnsi="Arial" w:cs="Arial"/>
                <w:color w:val="000000"/>
                <w:kern w:val="0"/>
                <w:sz w:val="20"/>
                <w:szCs w:val="20"/>
              </w:rPr>
            </w:pPr>
            <w:r w:rsidRPr="005F020C">
              <w:rPr>
                <w:rFonts w:ascii="Arial" w:eastAsia="等线" w:hAnsi="Arial" w:cs="Arial"/>
                <w:color w:val="000000"/>
                <w:kern w:val="0"/>
                <w:sz w:val="20"/>
                <w:szCs w:val="20"/>
              </w:rPr>
              <w:t xml:space="preserve">0.001 </w:t>
            </w:r>
          </w:p>
        </w:tc>
      </w:tr>
      <w:tr w:rsidR="00202EF7" w:rsidRPr="005F020C" w14:paraId="4063923E" w14:textId="77777777" w:rsidTr="00403E72">
        <w:trPr>
          <w:trHeight w:val="300"/>
        </w:trPr>
        <w:tc>
          <w:tcPr>
            <w:tcW w:w="3119" w:type="dxa"/>
            <w:tcBorders>
              <w:top w:val="nil"/>
              <w:left w:val="nil"/>
              <w:bottom w:val="single" w:sz="4" w:space="0" w:color="auto"/>
              <w:right w:val="nil"/>
            </w:tcBorders>
            <w:shd w:val="clear" w:color="auto" w:fill="auto"/>
            <w:noWrap/>
            <w:vAlign w:val="center"/>
            <w:hideMark/>
          </w:tcPr>
          <w:p w14:paraId="23CFEA12" w14:textId="458F331F" w:rsidR="00202EF7" w:rsidRPr="005F020C" w:rsidRDefault="00202EF7" w:rsidP="005F020C">
            <w:pPr>
              <w:widowControl/>
              <w:jc w:val="left"/>
              <w:rPr>
                <w:rFonts w:ascii="Arial" w:eastAsia="等线" w:hAnsi="Arial" w:cs="Arial"/>
                <w:color w:val="000000"/>
                <w:kern w:val="0"/>
                <w:sz w:val="20"/>
                <w:szCs w:val="20"/>
              </w:rPr>
            </w:pPr>
            <w:r w:rsidRPr="005F020C">
              <w:rPr>
                <w:rFonts w:ascii="Arial" w:eastAsia="等线" w:hAnsi="Arial" w:cs="Arial"/>
                <w:color w:val="000000"/>
                <w:kern w:val="0"/>
                <w:sz w:val="20"/>
                <w:szCs w:val="20"/>
              </w:rPr>
              <w:t xml:space="preserve">Advanced </w:t>
            </w:r>
            <w:r w:rsidR="00403E72">
              <w:rPr>
                <w:rFonts w:ascii="Arial" w:eastAsia="等线" w:hAnsi="Arial" w:cs="Arial"/>
                <w:color w:val="000000"/>
                <w:kern w:val="0"/>
                <w:sz w:val="20"/>
                <w:szCs w:val="20"/>
              </w:rPr>
              <w:t>heart failure</w:t>
            </w:r>
            <w:r w:rsidRPr="005F020C">
              <w:rPr>
                <w:rFonts w:ascii="Arial" w:eastAsia="等线" w:hAnsi="Arial" w:cs="Arial"/>
                <w:color w:val="000000"/>
                <w:kern w:val="0"/>
                <w:sz w:val="20"/>
                <w:szCs w:val="20"/>
              </w:rPr>
              <w:t xml:space="preserve"> treatment</w:t>
            </w:r>
          </w:p>
        </w:tc>
        <w:tc>
          <w:tcPr>
            <w:tcW w:w="851" w:type="dxa"/>
            <w:tcBorders>
              <w:top w:val="nil"/>
              <w:left w:val="nil"/>
              <w:bottom w:val="single" w:sz="4" w:space="0" w:color="auto"/>
              <w:right w:val="nil"/>
            </w:tcBorders>
            <w:shd w:val="clear" w:color="auto" w:fill="auto"/>
            <w:noWrap/>
            <w:vAlign w:val="center"/>
            <w:hideMark/>
          </w:tcPr>
          <w:p w14:paraId="7A537353" w14:textId="77777777" w:rsidR="00202EF7" w:rsidRPr="005F020C" w:rsidRDefault="00202EF7" w:rsidP="005F020C">
            <w:pPr>
              <w:widowControl/>
              <w:jc w:val="center"/>
              <w:rPr>
                <w:rFonts w:ascii="Arial" w:eastAsia="等线" w:hAnsi="Arial" w:cs="Arial"/>
                <w:color w:val="000000"/>
                <w:kern w:val="0"/>
                <w:sz w:val="20"/>
                <w:szCs w:val="20"/>
              </w:rPr>
            </w:pPr>
            <w:r w:rsidRPr="005F020C">
              <w:rPr>
                <w:rFonts w:ascii="Arial" w:eastAsia="等线" w:hAnsi="Arial" w:cs="Arial"/>
                <w:color w:val="000000"/>
                <w:kern w:val="0"/>
                <w:sz w:val="20"/>
                <w:szCs w:val="20"/>
              </w:rPr>
              <w:t xml:space="preserve">0.841 </w:t>
            </w:r>
          </w:p>
        </w:tc>
        <w:tc>
          <w:tcPr>
            <w:tcW w:w="2113" w:type="dxa"/>
            <w:tcBorders>
              <w:top w:val="nil"/>
              <w:left w:val="nil"/>
              <w:bottom w:val="single" w:sz="4" w:space="0" w:color="auto"/>
              <w:right w:val="nil"/>
            </w:tcBorders>
            <w:shd w:val="clear" w:color="auto" w:fill="auto"/>
            <w:noWrap/>
            <w:vAlign w:val="center"/>
            <w:hideMark/>
          </w:tcPr>
          <w:p w14:paraId="6E7C3F98" w14:textId="77777777" w:rsidR="00202EF7" w:rsidRPr="005F020C" w:rsidRDefault="00202EF7" w:rsidP="005F020C">
            <w:pPr>
              <w:widowControl/>
              <w:jc w:val="center"/>
              <w:rPr>
                <w:rFonts w:ascii="Arial" w:eastAsia="等线" w:hAnsi="Arial" w:cs="Arial"/>
                <w:color w:val="000000"/>
                <w:kern w:val="0"/>
                <w:sz w:val="20"/>
                <w:szCs w:val="20"/>
              </w:rPr>
            </w:pPr>
            <w:r w:rsidRPr="005F020C">
              <w:rPr>
                <w:rFonts w:ascii="Arial" w:eastAsia="等线" w:hAnsi="Arial" w:cs="Arial"/>
                <w:color w:val="000000"/>
                <w:kern w:val="0"/>
                <w:sz w:val="20"/>
                <w:szCs w:val="20"/>
              </w:rPr>
              <w:t>2.318 (1.208-4.448)</w:t>
            </w:r>
          </w:p>
        </w:tc>
        <w:tc>
          <w:tcPr>
            <w:tcW w:w="1012" w:type="dxa"/>
            <w:gridSpan w:val="2"/>
            <w:tcBorders>
              <w:top w:val="nil"/>
              <w:left w:val="nil"/>
              <w:bottom w:val="single" w:sz="4" w:space="0" w:color="auto"/>
              <w:right w:val="nil"/>
            </w:tcBorders>
            <w:shd w:val="clear" w:color="auto" w:fill="auto"/>
            <w:noWrap/>
            <w:vAlign w:val="center"/>
            <w:hideMark/>
          </w:tcPr>
          <w:p w14:paraId="2FA0A195" w14:textId="77777777" w:rsidR="00202EF7" w:rsidRPr="005F020C" w:rsidRDefault="00202EF7" w:rsidP="005F020C">
            <w:pPr>
              <w:widowControl/>
              <w:jc w:val="center"/>
              <w:rPr>
                <w:rFonts w:ascii="Arial" w:eastAsia="等线" w:hAnsi="Arial" w:cs="Arial"/>
                <w:color w:val="000000"/>
                <w:kern w:val="0"/>
                <w:sz w:val="20"/>
                <w:szCs w:val="20"/>
              </w:rPr>
            </w:pPr>
            <w:r w:rsidRPr="005F020C">
              <w:rPr>
                <w:rFonts w:ascii="Arial" w:eastAsia="等线" w:hAnsi="Arial" w:cs="Arial"/>
                <w:color w:val="000000"/>
                <w:kern w:val="0"/>
                <w:sz w:val="20"/>
                <w:szCs w:val="20"/>
              </w:rPr>
              <w:t xml:space="preserve">0.011 </w:t>
            </w:r>
          </w:p>
        </w:tc>
      </w:tr>
      <w:tr w:rsidR="00202EF7" w:rsidRPr="005F020C" w14:paraId="399261AD" w14:textId="77777777" w:rsidTr="00403E72">
        <w:trPr>
          <w:gridAfter w:val="1"/>
          <w:wAfter w:w="283" w:type="dxa"/>
          <w:trHeight w:val="624"/>
        </w:trPr>
        <w:tc>
          <w:tcPr>
            <w:tcW w:w="6812" w:type="dxa"/>
            <w:gridSpan w:val="4"/>
            <w:tcBorders>
              <w:top w:val="single" w:sz="4" w:space="0" w:color="auto"/>
              <w:left w:val="nil"/>
              <w:bottom w:val="nil"/>
              <w:right w:val="nil"/>
            </w:tcBorders>
            <w:shd w:val="clear" w:color="auto" w:fill="auto"/>
            <w:hideMark/>
          </w:tcPr>
          <w:p w14:paraId="46EE2871" w14:textId="2E5A1C40" w:rsidR="00202EF7" w:rsidRPr="005F020C" w:rsidRDefault="00202EF7" w:rsidP="005F020C">
            <w:pPr>
              <w:widowControl/>
              <w:jc w:val="left"/>
              <w:rPr>
                <w:rFonts w:ascii="Arial" w:eastAsia="等线" w:hAnsi="Arial" w:cs="Arial"/>
                <w:color w:val="000000"/>
                <w:kern w:val="0"/>
                <w:sz w:val="20"/>
                <w:szCs w:val="20"/>
              </w:rPr>
            </w:pPr>
          </w:p>
        </w:tc>
      </w:tr>
    </w:tbl>
    <w:p w14:paraId="3FB9EF88" w14:textId="77777777" w:rsidR="00202EF7" w:rsidRPr="005F020C" w:rsidRDefault="00202EF7" w:rsidP="005F020C">
      <w:pPr>
        <w:rPr>
          <w:rFonts w:ascii="Arial" w:hAnsi="Arial" w:cs="Arial"/>
        </w:rPr>
      </w:pPr>
    </w:p>
    <w:p w14:paraId="7E72460E" w14:textId="39919B4E" w:rsidR="00202EF7" w:rsidRPr="005F020C" w:rsidRDefault="00202EF7" w:rsidP="005F020C">
      <w:pPr>
        <w:widowControl/>
        <w:jc w:val="left"/>
        <w:rPr>
          <w:rFonts w:ascii="Arial" w:hAnsi="Arial" w:cs="Arial"/>
        </w:rPr>
      </w:pPr>
      <w:r w:rsidRPr="005F020C">
        <w:rPr>
          <w:rFonts w:ascii="Arial" w:hAnsi="Arial" w:cs="Arial"/>
        </w:rPr>
        <w:br w:type="page"/>
      </w:r>
    </w:p>
    <w:p w14:paraId="795DE6FB" w14:textId="287ECEA2" w:rsidR="005F020C" w:rsidRPr="009B3329" w:rsidRDefault="005F020C" w:rsidP="005F020C">
      <w:pPr>
        <w:spacing w:line="480" w:lineRule="auto"/>
        <w:rPr>
          <w:rFonts w:ascii="Arial" w:hAnsi="Arial" w:cs="Arial"/>
          <w:b/>
          <w:bCs/>
        </w:rPr>
      </w:pPr>
      <w:r w:rsidRPr="009B3329">
        <w:rPr>
          <w:rFonts w:ascii="Arial" w:hAnsi="Arial" w:cs="Arial"/>
          <w:b/>
          <w:bCs/>
        </w:rPr>
        <w:lastRenderedPageBreak/>
        <w:t>&lt;</w:t>
      </w:r>
      <w:r w:rsidR="00AB7DB3">
        <w:rPr>
          <w:rFonts w:ascii="Arial" w:hAnsi="Arial" w:cs="Arial"/>
          <w:b/>
          <w:bCs/>
        </w:rPr>
        <w:t>2</w:t>
      </w:r>
      <w:r w:rsidRPr="009B3329">
        <w:rPr>
          <w:rFonts w:ascii="Arial" w:hAnsi="Arial" w:cs="Arial"/>
          <w:b/>
          <w:bCs/>
        </w:rPr>
        <w:t>&gt; Supplementary material for Figure 2</w:t>
      </w:r>
    </w:p>
    <w:p w14:paraId="4B125F8B" w14:textId="2A2B6317" w:rsidR="005F020C" w:rsidRPr="009B3329" w:rsidRDefault="005F020C" w:rsidP="005F020C">
      <w:pPr>
        <w:spacing w:line="480" w:lineRule="auto"/>
        <w:rPr>
          <w:rFonts w:ascii="Arial" w:hAnsi="Arial" w:cs="Arial"/>
          <w:b/>
          <w:bCs/>
          <w:sz w:val="22"/>
        </w:rPr>
      </w:pPr>
      <w:r w:rsidRPr="009B3329">
        <w:rPr>
          <w:rFonts w:ascii="Arial" w:hAnsi="Arial" w:cs="Arial"/>
          <w:b/>
          <w:bCs/>
          <w:sz w:val="22"/>
        </w:rPr>
        <w:t>The detail of multiple comparison and pair comparison among 5 VIS</w:t>
      </w:r>
      <w:r w:rsidRPr="009B3329">
        <w:rPr>
          <w:rFonts w:ascii="Arial" w:hAnsi="Arial" w:cs="Arial"/>
          <w:b/>
          <w:bCs/>
          <w:sz w:val="22"/>
          <w:vertAlign w:val="subscript"/>
        </w:rPr>
        <w:t>max</w:t>
      </w:r>
      <w:r w:rsidRPr="009B3329">
        <w:rPr>
          <w:rFonts w:ascii="Arial" w:hAnsi="Arial" w:cs="Arial"/>
          <w:b/>
          <w:bCs/>
          <w:sz w:val="22"/>
        </w:rPr>
        <w:t xml:space="preserve"> grade</w:t>
      </w:r>
      <w:r w:rsidR="00DA11C2">
        <w:rPr>
          <w:rFonts w:ascii="Arial" w:hAnsi="Arial" w:cs="Arial"/>
          <w:b/>
          <w:bCs/>
          <w:sz w:val="22"/>
        </w:rPr>
        <w:t xml:space="preserve"> groups</w:t>
      </w:r>
      <w:r w:rsidRPr="009B3329">
        <w:rPr>
          <w:rFonts w:ascii="Arial" w:hAnsi="Arial" w:cs="Arial"/>
          <w:b/>
          <w:bCs/>
          <w:sz w:val="22"/>
        </w:rPr>
        <w:t>.</w:t>
      </w:r>
    </w:p>
    <w:p w14:paraId="1AE822A7" w14:textId="70FEC753" w:rsidR="005F020C" w:rsidRPr="009B3329" w:rsidRDefault="00AB7DB3" w:rsidP="005F020C">
      <w:pPr>
        <w:spacing w:line="480" w:lineRule="auto"/>
        <w:ind w:firstLine="420"/>
        <w:rPr>
          <w:rFonts w:ascii="Arial" w:hAnsi="Arial" w:cs="Arial"/>
          <w:sz w:val="22"/>
        </w:rPr>
      </w:pPr>
      <w:r>
        <w:rPr>
          <w:rFonts w:ascii="Arial" w:hAnsi="Arial" w:cs="Arial"/>
          <w:sz w:val="22"/>
        </w:rPr>
        <w:t xml:space="preserve">Multiple comparison among </w:t>
      </w:r>
      <w:r w:rsidR="00DA11C2">
        <w:rPr>
          <w:rFonts w:ascii="Arial" w:hAnsi="Arial" w:cs="Arial"/>
          <w:sz w:val="22"/>
        </w:rPr>
        <w:t xml:space="preserve">5 groups was performed using Pearson </w:t>
      </w:r>
      <w:r w:rsidR="00DA11C2" w:rsidRPr="00DA11C2">
        <w:rPr>
          <w:rFonts w:ascii="Arial" w:hAnsi="Arial" w:cs="Arial" w:hint="eastAsia"/>
          <w:sz w:val="22"/>
        </w:rPr>
        <w:t>χ</w:t>
      </w:r>
      <w:r w:rsidR="00DA11C2">
        <w:rPr>
          <w:rFonts w:ascii="Arial" w:hAnsi="Arial" w:cs="Arial" w:hint="eastAsia"/>
          <w:sz w:val="22"/>
          <w:vertAlign w:val="superscript"/>
        </w:rPr>
        <w:t>2</w:t>
      </w:r>
      <w:r w:rsidR="00DA11C2">
        <w:rPr>
          <w:rFonts w:ascii="Arial" w:hAnsi="Arial" w:cs="Arial"/>
          <w:sz w:val="22"/>
        </w:rPr>
        <w:t xml:space="preserve"> </w:t>
      </w:r>
      <w:r w:rsidR="00DA11C2">
        <w:rPr>
          <w:rFonts w:ascii="Arial" w:hAnsi="Arial" w:cs="Arial" w:hint="eastAsia"/>
          <w:sz w:val="22"/>
        </w:rPr>
        <w:t>test</w:t>
      </w:r>
      <w:r w:rsidR="00DA11C2">
        <w:rPr>
          <w:rFonts w:ascii="Arial" w:hAnsi="Arial" w:cs="Arial"/>
          <w:sz w:val="22"/>
        </w:rPr>
        <w:t xml:space="preserve"> for severe </w:t>
      </w:r>
      <w:r w:rsidR="00994BE1">
        <w:rPr>
          <w:rFonts w:ascii="Arial" w:hAnsi="Arial" w:cs="Arial"/>
          <w:sz w:val="22"/>
        </w:rPr>
        <w:t>adverse</w:t>
      </w:r>
      <w:r w:rsidR="00DA11C2">
        <w:rPr>
          <w:rFonts w:ascii="Arial" w:hAnsi="Arial" w:cs="Arial"/>
          <w:sz w:val="22"/>
        </w:rPr>
        <w:t xml:space="preserve"> outcome, early death, CRRT, mechanical circulatory support, prolonged mechanical ventilation, prolonged ICU stay and prolonged hospital stay, and using Fisher’s exact test for neurological complication, septic shock</w:t>
      </w:r>
      <w:r w:rsidR="00132E27">
        <w:rPr>
          <w:rFonts w:ascii="Arial" w:hAnsi="Arial" w:cs="Arial"/>
          <w:sz w:val="22"/>
        </w:rPr>
        <w:t xml:space="preserve"> and cardiac reoperation</w:t>
      </w:r>
      <w:r w:rsidR="00DA11C2">
        <w:rPr>
          <w:rFonts w:ascii="Arial" w:hAnsi="Arial" w:cs="Arial"/>
          <w:sz w:val="22"/>
        </w:rPr>
        <w:t xml:space="preserve">. </w:t>
      </w:r>
      <w:r w:rsidR="00132E27">
        <w:rPr>
          <w:rFonts w:ascii="Arial" w:hAnsi="Arial" w:cs="Arial"/>
          <w:sz w:val="22"/>
        </w:rPr>
        <w:t xml:space="preserve">The differences among groups were significant in the incidences of severe </w:t>
      </w:r>
      <w:r w:rsidR="00994BE1">
        <w:rPr>
          <w:rFonts w:ascii="Arial" w:hAnsi="Arial" w:cs="Arial"/>
          <w:sz w:val="22"/>
        </w:rPr>
        <w:t>adverse</w:t>
      </w:r>
      <w:r w:rsidR="00132E27">
        <w:rPr>
          <w:rFonts w:ascii="Arial" w:hAnsi="Arial" w:cs="Arial"/>
          <w:sz w:val="22"/>
        </w:rPr>
        <w:t xml:space="preserve"> outcome, CRRT, neurological complication, mechanical circulatory support, prolonged mechanical ventilation, prolonged ICU stay and prolonged hospital stay (P&lt;0.05). For incidences of other outcomes, the differences were not significant (P&gt;0.05). </w:t>
      </w:r>
      <w:r w:rsidR="005F020C" w:rsidRPr="009B3329">
        <w:rPr>
          <w:rFonts w:ascii="Arial" w:hAnsi="Arial" w:cs="Arial"/>
          <w:sz w:val="22"/>
        </w:rPr>
        <w:t xml:space="preserve">Comparisons between </w:t>
      </w:r>
      <w:r w:rsidR="00132E27">
        <w:rPr>
          <w:rFonts w:ascii="Arial" w:hAnsi="Arial" w:cs="Arial"/>
          <w:sz w:val="22"/>
        </w:rPr>
        <w:t>group</w:t>
      </w:r>
      <w:r w:rsidR="005F020C" w:rsidRPr="009B3329">
        <w:rPr>
          <w:rFonts w:ascii="Arial" w:hAnsi="Arial" w:cs="Arial"/>
          <w:sz w:val="22"/>
        </w:rPr>
        <w:t xml:space="preserve"> pairs were conducted if the overall comparison among 5 groups reached a significant difference. Further, the comparison among the groups of lowest four </w:t>
      </w:r>
      <w:r w:rsidR="00132E27">
        <w:rPr>
          <w:rFonts w:ascii="Arial" w:hAnsi="Arial" w:cs="Arial"/>
          <w:sz w:val="22"/>
        </w:rPr>
        <w:t>VIS</w:t>
      </w:r>
      <w:r w:rsidR="00132E27">
        <w:rPr>
          <w:rFonts w:ascii="Arial" w:hAnsi="Arial" w:cs="Arial"/>
          <w:sz w:val="22"/>
          <w:vertAlign w:val="subscript"/>
        </w:rPr>
        <w:t>max</w:t>
      </w:r>
      <w:r w:rsidR="00132E27">
        <w:rPr>
          <w:rFonts w:ascii="Arial" w:hAnsi="Arial" w:cs="Arial"/>
          <w:sz w:val="22"/>
        </w:rPr>
        <w:t xml:space="preserve"> </w:t>
      </w:r>
      <w:r w:rsidR="005F020C" w:rsidRPr="009B3329">
        <w:rPr>
          <w:rFonts w:ascii="Arial" w:hAnsi="Arial" w:cs="Arial"/>
          <w:sz w:val="22"/>
        </w:rPr>
        <w:t xml:space="preserve">grades was conducted. If the consequent difference was </w:t>
      </w:r>
      <w:r w:rsidR="007A541C">
        <w:rPr>
          <w:rFonts w:ascii="Arial" w:hAnsi="Arial" w:cs="Arial"/>
          <w:sz w:val="22"/>
        </w:rPr>
        <w:t xml:space="preserve">not </w:t>
      </w:r>
      <w:r w:rsidR="005F020C" w:rsidRPr="009B3329">
        <w:rPr>
          <w:rFonts w:ascii="Arial" w:hAnsi="Arial" w:cs="Arial"/>
          <w:sz w:val="22"/>
        </w:rPr>
        <w:t>significant (P&gt;0.05), then the comparisons between the fifth group and the lowest four groups were made. In this case, the comparison time was 5, and the significance probability was set to 0.01 (α</w:t>
      </w:r>
      <w:r w:rsidR="005F020C" w:rsidRPr="009B3329">
        <w:rPr>
          <w:rFonts w:ascii="Arial" w:hAnsi="Arial" w:cs="Arial"/>
          <w:sz w:val="22"/>
          <w:vertAlign w:val="subscript"/>
        </w:rPr>
        <w:t>1</w:t>
      </w:r>
      <w:r w:rsidR="005F020C" w:rsidRPr="009B3329">
        <w:rPr>
          <w:rFonts w:ascii="Arial" w:hAnsi="Arial" w:cs="Arial"/>
          <w:sz w:val="22"/>
        </w:rPr>
        <w:t>) according to Bonferroni method. Otherwise, the comparisons were made between every pair of the 5 groups. In this case, the comparison time was 10, and the significance probability was set to 0.005 (α</w:t>
      </w:r>
      <w:r w:rsidR="005F020C" w:rsidRPr="009B3329">
        <w:rPr>
          <w:rFonts w:ascii="Arial" w:hAnsi="Arial" w:cs="Arial"/>
          <w:sz w:val="22"/>
          <w:vertAlign w:val="subscript"/>
        </w:rPr>
        <w:t>2</w:t>
      </w:r>
      <w:r w:rsidR="005F020C" w:rsidRPr="009B3329">
        <w:rPr>
          <w:rFonts w:ascii="Arial" w:hAnsi="Arial" w:cs="Arial"/>
          <w:sz w:val="22"/>
        </w:rPr>
        <w:t xml:space="preserve">) according to Bonferroni method. For the incidence of severe </w:t>
      </w:r>
      <w:r w:rsidR="00994BE1">
        <w:rPr>
          <w:rFonts w:ascii="Arial" w:hAnsi="Arial" w:cs="Arial"/>
          <w:sz w:val="22"/>
        </w:rPr>
        <w:t>adverse</w:t>
      </w:r>
      <w:r w:rsidR="005F020C" w:rsidRPr="009B3329">
        <w:rPr>
          <w:rFonts w:ascii="Arial" w:hAnsi="Arial" w:cs="Arial"/>
          <w:sz w:val="22"/>
        </w:rPr>
        <w:t xml:space="preserve"> outcome, the lowest four groups had no significant difference from each other (P&gt;0.05), the 5th group was significantly higher than the 1st and 2nd group (P&lt;α</w:t>
      </w:r>
      <w:r w:rsidR="005F020C" w:rsidRPr="009B3329">
        <w:rPr>
          <w:rFonts w:ascii="Arial" w:hAnsi="Arial" w:cs="Arial"/>
          <w:sz w:val="22"/>
          <w:vertAlign w:val="subscript"/>
        </w:rPr>
        <w:t>1</w:t>
      </w:r>
      <w:r w:rsidR="005F020C" w:rsidRPr="009B3329">
        <w:rPr>
          <w:rFonts w:ascii="Arial" w:hAnsi="Arial" w:cs="Arial"/>
          <w:sz w:val="22"/>
        </w:rPr>
        <w:t xml:space="preserve">), and it had a critical </w:t>
      </w:r>
      <w:r w:rsidR="005F020C" w:rsidRPr="009B3329">
        <w:rPr>
          <w:rFonts w:ascii="Arial" w:hAnsi="Arial" w:cs="Arial"/>
          <w:sz w:val="22"/>
        </w:rPr>
        <w:lastRenderedPageBreak/>
        <w:t>difference from the 3rd group (P=0.013). For the incidence of renal injury requiring CRRT, the lowest four groups had no significant difference from each other (P&gt;0.05), and the 5th group was significantly higher than the 2nd and 3rd group (P&lt;α</w:t>
      </w:r>
      <w:r w:rsidR="005F020C" w:rsidRPr="009B3329">
        <w:rPr>
          <w:rFonts w:ascii="Arial" w:hAnsi="Arial" w:cs="Arial"/>
          <w:sz w:val="22"/>
          <w:vertAlign w:val="subscript"/>
        </w:rPr>
        <w:t>1</w:t>
      </w:r>
      <w:r w:rsidR="005F020C" w:rsidRPr="009B3329">
        <w:rPr>
          <w:rFonts w:ascii="Arial" w:hAnsi="Arial" w:cs="Arial"/>
          <w:sz w:val="22"/>
        </w:rPr>
        <w:t>). For the incidence of neurological complication, the lowest four groups had no significant difference from each other (P&gt;0.05), and the 5th group was significantly higher than the 3rd group (P&lt;α</w:t>
      </w:r>
      <w:r w:rsidR="005F020C" w:rsidRPr="009B3329">
        <w:rPr>
          <w:rFonts w:ascii="Arial" w:hAnsi="Arial" w:cs="Arial"/>
          <w:sz w:val="22"/>
          <w:vertAlign w:val="subscript"/>
        </w:rPr>
        <w:t>1</w:t>
      </w:r>
      <w:r w:rsidR="005F020C" w:rsidRPr="009B3329">
        <w:rPr>
          <w:rFonts w:ascii="Arial" w:hAnsi="Arial" w:cs="Arial"/>
          <w:sz w:val="22"/>
        </w:rPr>
        <w:t>). For the incidence of prolonged ICU stay, the lowest four groups had no significant difference from each other (P&gt;0.05), and the 5th group was significantly higher than the 1st and 2nd group (P&lt;α</w:t>
      </w:r>
      <w:r w:rsidR="005F020C" w:rsidRPr="009B3329">
        <w:rPr>
          <w:rFonts w:ascii="Arial" w:hAnsi="Arial" w:cs="Arial"/>
          <w:sz w:val="22"/>
          <w:vertAlign w:val="subscript"/>
        </w:rPr>
        <w:t>1</w:t>
      </w:r>
      <w:r w:rsidR="005F020C" w:rsidRPr="009B3329">
        <w:rPr>
          <w:rFonts w:ascii="Arial" w:hAnsi="Arial" w:cs="Arial"/>
          <w:sz w:val="22"/>
          <w:vertAlign w:val="subscript"/>
        </w:rPr>
        <w:softHyphen/>
      </w:r>
      <w:r w:rsidR="005F020C" w:rsidRPr="009B3329">
        <w:rPr>
          <w:rFonts w:ascii="Arial" w:hAnsi="Arial" w:cs="Arial"/>
          <w:sz w:val="22"/>
        </w:rPr>
        <w:t xml:space="preserve">). For the incidence of postoperative </w:t>
      </w:r>
      <w:r w:rsidR="007A541C">
        <w:rPr>
          <w:rFonts w:ascii="Arial" w:hAnsi="Arial" w:cs="Arial"/>
          <w:sz w:val="22"/>
        </w:rPr>
        <w:t>mechanical circulatory support</w:t>
      </w:r>
      <w:r w:rsidR="005F020C" w:rsidRPr="009B3329">
        <w:rPr>
          <w:rFonts w:ascii="Arial" w:hAnsi="Arial" w:cs="Arial"/>
          <w:sz w:val="22"/>
        </w:rPr>
        <w:t>, all the pairs except the 4th and 5th group pair, the 3rd and 4th group pair, and the 1st and 2nd group pair, had a significant difference between the two component groups (P&lt;α</w:t>
      </w:r>
      <w:r w:rsidR="005F020C" w:rsidRPr="009B3329">
        <w:rPr>
          <w:rFonts w:ascii="Arial" w:hAnsi="Arial" w:cs="Arial"/>
          <w:sz w:val="22"/>
          <w:vertAlign w:val="subscript"/>
        </w:rPr>
        <w:t>2</w:t>
      </w:r>
      <w:r w:rsidR="005F020C" w:rsidRPr="009B3329">
        <w:rPr>
          <w:rFonts w:ascii="Arial" w:hAnsi="Arial" w:cs="Arial"/>
          <w:sz w:val="22"/>
        </w:rPr>
        <w:t xml:space="preserve">). For the incidence of prolonged </w:t>
      </w:r>
      <w:r w:rsidR="007A541C">
        <w:rPr>
          <w:rFonts w:ascii="Arial" w:hAnsi="Arial" w:cs="Arial"/>
          <w:sz w:val="22"/>
        </w:rPr>
        <w:t>mechanical ventilation</w:t>
      </w:r>
      <w:r w:rsidR="005F020C" w:rsidRPr="009B3329">
        <w:rPr>
          <w:rFonts w:ascii="Arial" w:hAnsi="Arial" w:cs="Arial"/>
          <w:sz w:val="22"/>
        </w:rPr>
        <w:t>, the pairs except the pairs of the lowest three groups, the 3rd and 4th group pair, and the 4th and 5th group pair, had a significant difference between the two component groups (P&lt;α</w:t>
      </w:r>
      <w:r w:rsidR="005F020C" w:rsidRPr="009B3329">
        <w:rPr>
          <w:rFonts w:ascii="Arial" w:hAnsi="Arial" w:cs="Arial"/>
          <w:sz w:val="22"/>
          <w:vertAlign w:val="subscript"/>
        </w:rPr>
        <w:t>2</w:t>
      </w:r>
      <w:r w:rsidR="005F020C" w:rsidRPr="009B3329">
        <w:rPr>
          <w:rFonts w:ascii="Arial" w:hAnsi="Arial" w:cs="Arial"/>
          <w:sz w:val="22"/>
        </w:rPr>
        <w:t>). For the incidence of prolonged hospital stay, only the 5th and 1st group pair, the 5th and 3nd group pair, and the 4th and 1st group pair had a significant difference (P&lt;α</w:t>
      </w:r>
      <w:r w:rsidR="005F020C" w:rsidRPr="009B3329">
        <w:rPr>
          <w:rFonts w:ascii="Arial" w:hAnsi="Arial" w:cs="Arial"/>
          <w:sz w:val="22"/>
          <w:vertAlign w:val="subscript"/>
        </w:rPr>
        <w:t>2</w:t>
      </w:r>
      <w:r w:rsidR="005F020C" w:rsidRPr="009B3329">
        <w:rPr>
          <w:rFonts w:ascii="Arial" w:hAnsi="Arial" w:cs="Arial"/>
          <w:sz w:val="22"/>
        </w:rPr>
        <w:t xml:space="preserve">). For the incidence of early death, septic shock and cardiac reoperation, all the 5 groups had no significant difference from each other. </w:t>
      </w:r>
    </w:p>
    <w:p w14:paraId="266C505D" w14:textId="44D92BEA" w:rsidR="00906681" w:rsidRDefault="00906681">
      <w:pPr>
        <w:widowControl/>
        <w:jc w:val="left"/>
        <w:rPr>
          <w:rFonts w:ascii="Arial" w:hAnsi="Arial" w:cs="Arial"/>
        </w:rPr>
      </w:pPr>
      <w:r>
        <w:rPr>
          <w:rFonts w:ascii="Arial" w:hAnsi="Arial" w:cs="Arial"/>
        </w:rPr>
        <w:br w:type="page"/>
      </w:r>
    </w:p>
    <w:p w14:paraId="5A768413" w14:textId="62A193A3" w:rsidR="005F020C" w:rsidRPr="00906681" w:rsidRDefault="00906681" w:rsidP="005F020C">
      <w:pPr>
        <w:spacing w:line="480" w:lineRule="auto"/>
        <w:rPr>
          <w:rFonts w:ascii="Arial" w:hAnsi="Arial" w:cs="Arial"/>
          <w:b/>
          <w:bCs/>
        </w:rPr>
      </w:pPr>
      <w:r w:rsidRPr="00906681">
        <w:rPr>
          <w:rFonts w:ascii="Arial" w:hAnsi="Arial" w:cs="Arial" w:hint="eastAsia"/>
          <w:b/>
          <w:bCs/>
        </w:rPr>
        <w:lastRenderedPageBreak/>
        <w:t>&lt;</w:t>
      </w:r>
      <w:r w:rsidRPr="00906681">
        <w:rPr>
          <w:rFonts w:ascii="Arial" w:hAnsi="Arial" w:cs="Arial"/>
          <w:b/>
          <w:bCs/>
        </w:rPr>
        <w:t>3&gt; Supplementary figure legends</w:t>
      </w:r>
    </w:p>
    <w:p w14:paraId="4AE7D8D7" w14:textId="047A3D66" w:rsidR="00906681" w:rsidRPr="00906681" w:rsidRDefault="00906681" w:rsidP="00906681">
      <w:pPr>
        <w:spacing w:line="480" w:lineRule="auto"/>
        <w:rPr>
          <w:rFonts w:ascii="Arial" w:hAnsi="Arial" w:cs="Arial"/>
        </w:rPr>
      </w:pPr>
      <w:r w:rsidRPr="00906681">
        <w:rPr>
          <w:rFonts w:ascii="Arial" w:hAnsi="Arial" w:cs="Arial" w:hint="eastAsia"/>
          <w:b/>
          <w:bCs/>
        </w:rPr>
        <w:t>Figure S1 The flow chart of patient selection and follow-up</w:t>
      </w:r>
      <w:r w:rsidRPr="00906681">
        <w:rPr>
          <w:rFonts w:ascii="Arial" w:hAnsi="Arial" w:cs="Arial" w:hint="eastAsia"/>
        </w:rPr>
        <w:t>. A total of 346 patients have undergone heart transplantation between January 1, 2015 and December 31, 2018 in our center, 1 of them was excluded for re-transplantation or multiple organ transplantation, 2 were excluded for immediate death with</w:t>
      </w:r>
      <w:r w:rsidR="00994BE1">
        <w:rPr>
          <w:rFonts w:ascii="Arial" w:hAnsi="Arial" w:cs="Arial"/>
        </w:rPr>
        <w:t>in</w:t>
      </w:r>
      <w:r w:rsidRPr="00906681">
        <w:rPr>
          <w:rFonts w:ascii="Arial" w:hAnsi="Arial" w:cs="Arial" w:hint="eastAsia"/>
        </w:rPr>
        <w:t xml:space="preserve"> the first postoperative day, 3 were excluded for extreme body weight </w:t>
      </w:r>
      <w:r w:rsidRPr="00906681">
        <w:rPr>
          <w:rFonts w:ascii="Arial" w:hAnsi="Arial" w:cs="Arial"/>
        </w:rPr>
        <w:t>(&lt;40kg or &gt;130kg) and 15 were excluded for lack of vasoactive-inotropic data. Every patient was followed up until the occurrence of primary outcome or the 30</w:t>
      </w:r>
      <w:r w:rsidRPr="00906681">
        <w:rPr>
          <w:rFonts w:ascii="Arial" w:hAnsi="Arial" w:cs="Arial"/>
          <w:vertAlign w:val="superscript"/>
        </w:rPr>
        <w:t>th</w:t>
      </w:r>
      <w:r w:rsidRPr="00906681">
        <w:rPr>
          <w:rFonts w:ascii="Arial" w:hAnsi="Arial" w:cs="Arial"/>
        </w:rPr>
        <w:t xml:space="preserve"> day after discharge (around 60th day after transplantation).</w:t>
      </w:r>
    </w:p>
    <w:p w14:paraId="6BA9C475" w14:textId="77777777" w:rsidR="00906681" w:rsidRPr="00906681" w:rsidRDefault="00906681" w:rsidP="005F020C">
      <w:pPr>
        <w:spacing w:line="480" w:lineRule="auto"/>
        <w:rPr>
          <w:rFonts w:ascii="Arial" w:hAnsi="Arial" w:cs="Arial"/>
        </w:rPr>
      </w:pPr>
      <w:bookmarkStart w:id="0" w:name="_GoBack"/>
      <w:bookmarkEnd w:id="0"/>
    </w:p>
    <w:sectPr w:rsidR="00906681" w:rsidRPr="009066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01AC2" w14:textId="77777777" w:rsidR="00C80ABB" w:rsidRDefault="00C80ABB" w:rsidP="00202EF7">
      <w:r>
        <w:separator/>
      </w:r>
    </w:p>
  </w:endnote>
  <w:endnote w:type="continuationSeparator" w:id="0">
    <w:p w14:paraId="0DB2F8E7" w14:textId="77777777" w:rsidR="00C80ABB" w:rsidRDefault="00C80ABB" w:rsidP="0020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61CE7" w14:textId="77777777" w:rsidR="00C80ABB" w:rsidRDefault="00C80ABB" w:rsidP="00202EF7">
      <w:r>
        <w:separator/>
      </w:r>
    </w:p>
  </w:footnote>
  <w:footnote w:type="continuationSeparator" w:id="0">
    <w:p w14:paraId="2B197343" w14:textId="77777777" w:rsidR="00C80ABB" w:rsidRDefault="00C80ABB" w:rsidP="00202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49"/>
    <w:rsid w:val="00132E27"/>
    <w:rsid w:val="00191040"/>
    <w:rsid w:val="001B4575"/>
    <w:rsid w:val="00202EF7"/>
    <w:rsid w:val="002E3D29"/>
    <w:rsid w:val="0033316F"/>
    <w:rsid w:val="00403E72"/>
    <w:rsid w:val="00593F8C"/>
    <w:rsid w:val="005C1FE6"/>
    <w:rsid w:val="005F020C"/>
    <w:rsid w:val="006B43F5"/>
    <w:rsid w:val="00734B72"/>
    <w:rsid w:val="007A541C"/>
    <w:rsid w:val="008776C2"/>
    <w:rsid w:val="00906681"/>
    <w:rsid w:val="0091489A"/>
    <w:rsid w:val="00994BE1"/>
    <w:rsid w:val="009B3329"/>
    <w:rsid w:val="00AB7DB3"/>
    <w:rsid w:val="00B32AF4"/>
    <w:rsid w:val="00C80ABB"/>
    <w:rsid w:val="00CF4EF7"/>
    <w:rsid w:val="00D023A4"/>
    <w:rsid w:val="00DA11C2"/>
    <w:rsid w:val="00F274BC"/>
    <w:rsid w:val="00F60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EC804"/>
  <w15:chartTrackingRefBased/>
  <w15:docId w15:val="{9899DFF0-1AAF-4E28-974B-32D3518E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02E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E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2EF7"/>
    <w:rPr>
      <w:sz w:val="18"/>
      <w:szCs w:val="18"/>
    </w:rPr>
  </w:style>
  <w:style w:type="paragraph" w:styleId="a5">
    <w:name w:val="footer"/>
    <w:basedOn w:val="a"/>
    <w:link w:val="a6"/>
    <w:uiPriority w:val="99"/>
    <w:unhideWhenUsed/>
    <w:rsid w:val="00202EF7"/>
    <w:pPr>
      <w:tabs>
        <w:tab w:val="center" w:pos="4153"/>
        <w:tab w:val="right" w:pos="8306"/>
      </w:tabs>
      <w:snapToGrid w:val="0"/>
      <w:jc w:val="left"/>
    </w:pPr>
    <w:rPr>
      <w:sz w:val="18"/>
      <w:szCs w:val="18"/>
    </w:rPr>
  </w:style>
  <w:style w:type="character" w:customStyle="1" w:styleId="a6">
    <w:name w:val="页脚 字符"/>
    <w:basedOn w:val="a0"/>
    <w:link w:val="a5"/>
    <w:uiPriority w:val="99"/>
    <w:rsid w:val="00202E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76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 Tixiusi</dc:creator>
  <cp:keywords/>
  <dc:description/>
  <cp:lastModifiedBy>Xiong Tixiusi</cp:lastModifiedBy>
  <cp:revision>3</cp:revision>
  <dcterms:created xsi:type="dcterms:W3CDTF">2024-07-16T12:51:00Z</dcterms:created>
  <dcterms:modified xsi:type="dcterms:W3CDTF">2024-07-16T12:54:00Z</dcterms:modified>
</cp:coreProperties>
</file>