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D4FB3" w14:textId="3D9F33D8" w:rsidR="00486586" w:rsidRPr="00A01BC1" w:rsidRDefault="008D6E93" w:rsidP="008D6E93">
      <w:pPr>
        <w:spacing w:after="0" w:line="240" w:lineRule="auto"/>
        <w:rPr>
          <w:rFonts w:ascii="Calibri" w:eastAsia="Times New Roman" w:hAnsi="Calibri" w:cs="Calibri"/>
          <w:b/>
          <w:bCs/>
          <w:i/>
          <w:iCs/>
          <w:sz w:val="28"/>
          <w:szCs w:val="28"/>
          <w:lang w:eastAsia="en-GB"/>
        </w:rPr>
      </w:pPr>
      <w:r w:rsidRPr="00A01BC1">
        <w:rPr>
          <w:rFonts w:ascii="Calibri" w:eastAsia="Times New Roman" w:hAnsi="Calibri" w:cs="Calibri"/>
          <w:b/>
          <w:bCs/>
          <w:i/>
          <w:iCs/>
          <w:sz w:val="28"/>
          <w:szCs w:val="28"/>
          <w:lang w:eastAsia="en-GB"/>
        </w:rPr>
        <w:t xml:space="preserve">Supplementary </w:t>
      </w:r>
      <w:r w:rsidR="00C65975">
        <w:rPr>
          <w:rFonts w:ascii="Calibri" w:eastAsia="Times New Roman" w:hAnsi="Calibri" w:cs="Calibri"/>
          <w:b/>
          <w:bCs/>
          <w:i/>
          <w:iCs/>
          <w:sz w:val="28"/>
          <w:szCs w:val="28"/>
          <w:lang w:eastAsia="en-GB"/>
        </w:rPr>
        <w:t>Material</w:t>
      </w:r>
    </w:p>
    <w:p w14:paraId="1E3E121A" w14:textId="74604BB4" w:rsidR="004A574E" w:rsidRPr="004A574E" w:rsidRDefault="004A574E" w:rsidP="004A574E">
      <w:pPr>
        <w:spacing w:after="0" w:line="240" w:lineRule="auto"/>
        <w:rPr>
          <w:rFonts w:ascii="Calibri" w:eastAsia="Times New Roman" w:hAnsi="Calibri" w:cs="Calibri"/>
          <w:b/>
          <w:bCs/>
          <w:sz w:val="24"/>
          <w:szCs w:val="24"/>
          <w:lang w:eastAsia="en-GB"/>
        </w:rPr>
      </w:pPr>
      <w:r>
        <w:rPr>
          <w:rFonts w:eastAsia="Times New Roman" w:cstheme="minorHAnsi"/>
          <w:b/>
          <w:bCs/>
          <w:sz w:val="24"/>
          <w:szCs w:val="24"/>
          <w:lang w:eastAsia="en-GB"/>
        </w:rPr>
        <w:t xml:space="preserve">Supplementary table 1.  </w:t>
      </w:r>
      <w:r>
        <w:rPr>
          <w:rFonts w:eastAsia="Times New Roman" w:cstheme="minorHAnsi"/>
          <w:bCs/>
          <w:sz w:val="24"/>
          <w:szCs w:val="24"/>
          <w:lang w:eastAsia="en-GB"/>
        </w:rPr>
        <w:t>Data extraction for 12 selected publications.</w:t>
      </w:r>
    </w:p>
    <w:p w14:paraId="55B2E73B" w14:textId="77777777" w:rsidR="00C5386A" w:rsidRPr="00A01BC1" w:rsidRDefault="00C5386A" w:rsidP="008D6E93">
      <w:pPr>
        <w:spacing w:after="0" w:line="240" w:lineRule="auto"/>
        <w:rPr>
          <w:rFonts w:ascii="Calibri" w:eastAsia="Times New Roman" w:hAnsi="Calibri" w:cs="Calibri"/>
          <w:sz w:val="28"/>
          <w:szCs w:val="28"/>
          <w:lang w:eastAsia="en-GB"/>
        </w:rPr>
      </w:pPr>
    </w:p>
    <w:p w14:paraId="57C0B698" w14:textId="77777777" w:rsidR="00EA387B" w:rsidRDefault="00EA387B" w:rsidP="008D6E93">
      <w:pPr>
        <w:spacing w:after="0" w:line="240" w:lineRule="auto"/>
        <w:rPr>
          <w:rFonts w:ascii="Calibri" w:eastAsia="Times New Roman" w:hAnsi="Calibri" w:cs="Calibri"/>
          <w:b/>
          <w:bCs/>
          <w:sz w:val="28"/>
          <w:szCs w:val="28"/>
          <w:lang w:eastAsia="en-GB"/>
        </w:rPr>
      </w:pPr>
    </w:p>
    <w:tbl>
      <w:tblPr>
        <w:tblpPr w:leftFromText="180" w:rightFromText="180" w:vertAnchor="text" w:horzAnchor="margin" w:tblpXSpec="center" w:tblpY="32"/>
        <w:tblW w:w="16433"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699"/>
        <w:gridCol w:w="992"/>
        <w:gridCol w:w="1560"/>
        <w:gridCol w:w="1701"/>
        <w:gridCol w:w="992"/>
        <w:gridCol w:w="567"/>
        <w:gridCol w:w="567"/>
        <w:gridCol w:w="425"/>
        <w:gridCol w:w="425"/>
        <w:gridCol w:w="567"/>
        <w:gridCol w:w="567"/>
        <w:gridCol w:w="709"/>
        <w:gridCol w:w="709"/>
        <w:gridCol w:w="850"/>
        <w:gridCol w:w="851"/>
        <w:gridCol w:w="567"/>
        <w:gridCol w:w="567"/>
        <w:gridCol w:w="628"/>
        <w:gridCol w:w="648"/>
        <w:gridCol w:w="567"/>
        <w:gridCol w:w="567"/>
        <w:gridCol w:w="708"/>
      </w:tblGrid>
      <w:tr w:rsidR="008F510C" w:rsidRPr="00980A96" w14:paraId="0AA05A37"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A66B9A9"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Study </w:t>
            </w:r>
          </w:p>
        </w:tc>
        <w:tc>
          <w:tcPr>
            <w:tcW w:w="992"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1ED3368"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Main Topic </w:t>
            </w:r>
          </w:p>
        </w:tc>
        <w:tc>
          <w:tcPr>
            <w:tcW w:w="1560"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3D9DA4D"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Read outs </w:t>
            </w:r>
          </w:p>
        </w:tc>
        <w:tc>
          <w:tcPr>
            <w:tcW w:w="1701"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77987451"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992"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EB3380B"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Outcome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C79D823"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Characteristics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9657DE5"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425"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59BA976"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425"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FC0E397"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5E7FBE3"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FB6F9C0"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70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1997FCC4"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70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76C89FA6"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850"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9A1A935"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851"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19E4FA26"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05D3782"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13273671"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628"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2605A14"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648"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56C8EFC"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0B61DCE"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75A253E1"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Key Words</w:t>
            </w:r>
          </w:p>
        </w:tc>
        <w:tc>
          <w:tcPr>
            <w:tcW w:w="708"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F78DC17"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Search Engine</w:t>
            </w:r>
          </w:p>
        </w:tc>
      </w:tr>
      <w:tr w:rsidR="008F510C" w:rsidRPr="00980A96" w14:paraId="70A6B52C"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44B1AD32"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992"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F4E405C"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1560"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8080A86"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Description</w:t>
            </w:r>
          </w:p>
        </w:tc>
        <w:tc>
          <w:tcPr>
            <w:tcW w:w="1701"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7888F52"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Numerical Data </w:t>
            </w:r>
          </w:p>
        </w:tc>
        <w:tc>
          <w:tcPr>
            <w:tcW w:w="992"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CEF120F"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A94980C"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Year</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199F2F4"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Region</w:t>
            </w:r>
          </w:p>
        </w:tc>
        <w:tc>
          <w:tcPr>
            <w:tcW w:w="425"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A0A5860"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Participants </w:t>
            </w:r>
          </w:p>
        </w:tc>
        <w:tc>
          <w:tcPr>
            <w:tcW w:w="425"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9ED3DA2"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Male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D6232C4"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Female</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B42448D"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Age </w:t>
            </w:r>
          </w:p>
        </w:tc>
        <w:tc>
          <w:tcPr>
            <w:tcW w:w="70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84C834F"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Type of Cancer</w:t>
            </w:r>
          </w:p>
        </w:tc>
        <w:tc>
          <w:tcPr>
            <w:tcW w:w="70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7A561602"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Stage </w:t>
            </w:r>
          </w:p>
        </w:tc>
        <w:tc>
          <w:tcPr>
            <w:tcW w:w="850"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397404A"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Location of tumour analysed </w:t>
            </w:r>
          </w:p>
        </w:tc>
        <w:tc>
          <w:tcPr>
            <w:tcW w:w="851"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C8A3092"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Overall Survival (OS) analysis</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C763B24"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Disease-free survival (DFS) analysis </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2EC78F59"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Progression-free survival (PFS) analysis </w:t>
            </w:r>
          </w:p>
        </w:tc>
        <w:tc>
          <w:tcPr>
            <w:tcW w:w="628"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38D316CF"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Disease-specific survival (DSS) analysis</w:t>
            </w:r>
          </w:p>
        </w:tc>
        <w:tc>
          <w:tcPr>
            <w:tcW w:w="648"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151ED5FF"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Detection Method</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B046676"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Marker</w:t>
            </w:r>
          </w:p>
        </w:tc>
        <w:tc>
          <w:tcPr>
            <w:tcW w:w="567"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2DB9A01"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c>
          <w:tcPr>
            <w:tcW w:w="708"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4DAFE9BC"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w:t>
            </w:r>
          </w:p>
        </w:tc>
      </w:tr>
      <w:tr w:rsidR="008F510C" w:rsidRPr="00980A96" w14:paraId="74609A7E"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46815E0F"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Fang et al., 2017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C022FB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Prognostic significance of tumour infiltrating immune cells in oral squamous cell carcinoma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AECE67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CD57 and CD8 showed longer overall survival </w:t>
            </w:r>
          </w:p>
          <w:p w14:paraId="5D51D6D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CD57 cells showed no metastasis in lymph node</w:t>
            </w:r>
          </w:p>
          <w:p w14:paraId="27ACDD9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CD57 and CD8 shows high levels of prediction </w:t>
            </w:r>
          </w:p>
          <w:p w14:paraId="2DBE972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Kaplan-Meier curves for overall survival indicated that higher CD8 and CD57 expression were associated with better patient survival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3B92862" w14:textId="77777777" w:rsidR="00980A96" w:rsidRPr="00EA387B" w:rsidRDefault="00980A96" w:rsidP="00980A96">
            <w:pPr>
              <w:spacing w:after="0" w:line="240" w:lineRule="auto"/>
              <w:rPr>
                <w:rFonts w:ascii="Calibri" w:eastAsia="Times New Roman" w:hAnsi="Calibri" w:cs="Calibri"/>
                <w:sz w:val="14"/>
                <w:szCs w:val="14"/>
                <w:lang w:eastAsia="en-GB"/>
              </w:rPr>
            </w:pPr>
            <w:r w:rsidRPr="006D2E7F">
              <w:rPr>
                <w:rFonts w:ascii="Calibri" w:eastAsia="Times New Roman" w:hAnsi="Calibri" w:cs="Calibri"/>
                <w:sz w:val="14"/>
                <w:szCs w:val="14"/>
                <w:lang w:eastAsia="en-GB"/>
              </w:rPr>
              <w:t>M</w:t>
            </w:r>
            <w:r w:rsidRPr="00EA387B">
              <w:rPr>
                <w:rFonts w:ascii="Calibri" w:eastAsia="Times New Roman" w:hAnsi="Calibri" w:cs="Calibri"/>
                <w:sz w:val="14"/>
                <w:szCs w:val="14"/>
                <w:lang w:eastAsia="en-GB"/>
              </w:rPr>
              <w:t>ean number of immune cells CD8, CD4, CD68, CD57 were 28.99, 62.06, 8.97, 21.25 and 15.75 respectively in 78 OSCC samples</w:t>
            </w:r>
          </w:p>
          <w:p w14:paraId="714EE515" w14:textId="15D6DAE0" w:rsidR="00980A96" w:rsidRPr="00EA387B" w:rsidRDefault="00B576BE" w:rsidP="00980A96">
            <w:pPr>
              <w:spacing w:after="0" w:line="240" w:lineRule="auto"/>
              <w:rPr>
                <w:rFonts w:ascii="Calibri" w:eastAsia="Times New Roman" w:hAnsi="Calibri" w:cs="Calibri"/>
                <w:sz w:val="14"/>
                <w:szCs w:val="14"/>
                <w:lang w:eastAsia="en-GB"/>
              </w:rPr>
            </w:pPr>
            <w:r w:rsidRPr="006D2E7F">
              <w:rPr>
                <w:rFonts w:ascii="Calibri" w:eastAsia="Times New Roman" w:hAnsi="Calibri" w:cs="Calibri"/>
                <w:sz w:val="14"/>
                <w:szCs w:val="14"/>
                <w:lang w:eastAsia="en-GB"/>
              </w:rPr>
              <w:t>average</w:t>
            </w:r>
            <w:r w:rsidR="00980A96" w:rsidRPr="00EA387B">
              <w:rPr>
                <w:rFonts w:ascii="Calibri" w:eastAsia="Times New Roman" w:hAnsi="Calibri" w:cs="Calibri"/>
                <w:sz w:val="14"/>
                <w:szCs w:val="14"/>
                <w:lang w:eastAsia="en-GB"/>
              </w:rPr>
              <w:t xml:space="preserve"> overall survival of patients were 21.38 months in low and 43.68 months in high CD8 expression group</w:t>
            </w:r>
          </w:p>
          <w:p w14:paraId="7AB73A4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Average overall survival of patients were 22.14 months in low and 46.2 months in high CD57 expression group </w:t>
            </w:r>
          </w:p>
          <w:p w14:paraId="6243CC7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AUCs in ROC curve of CD8 and CD57 were 0.784 and 0.868 respectively, significantly higher than TNM staging (0.599)</w:t>
            </w:r>
          </w:p>
          <w:p w14:paraId="5E08229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D8 mean cells/hpf = 28.99 (12.67)</w:t>
            </w:r>
          </w:p>
          <w:p w14:paraId="7923AC2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mean cells/hpf = 62.06(21.33)</w:t>
            </w:r>
          </w:p>
          <w:p w14:paraId="6890684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T-bet mean cells/hpf = 8.97(3.99)</w:t>
            </w:r>
          </w:p>
          <w:p w14:paraId="06FE2FD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mean cells/hpf = 21.25 (6.01)</w:t>
            </w:r>
          </w:p>
          <w:p w14:paraId="607ED54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CD57 mean cells/hpf = 15.75 (9.41)</w:t>
            </w:r>
          </w:p>
          <w:p w14:paraId="7CC7D94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6A7ABF8" w14:textId="77777777" w:rsidR="00980A96" w:rsidRPr="006D2E7F"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Tur stroma CD57 and CD8 expression associated with lymph node status is able to predict survival of OSCC patients</w:t>
            </w:r>
          </w:p>
          <w:p w14:paraId="19E7819D" w14:textId="7D85F227" w:rsidR="00980A96" w:rsidRPr="00EA387B" w:rsidRDefault="00980A96" w:rsidP="00980A96">
            <w:pPr>
              <w:spacing w:after="0" w:line="240" w:lineRule="auto"/>
              <w:rPr>
                <w:rFonts w:ascii="Calibri" w:eastAsia="Times New Roman" w:hAnsi="Calibri" w:cs="Calibri"/>
                <w:sz w:val="14"/>
                <w:szCs w:val="14"/>
                <w:lang w:eastAsia="en-GB"/>
              </w:rPr>
            </w:pP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164319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2017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BCF214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China</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43BABA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78</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0360FB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57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505FA0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21</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156E0C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24-82</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CFAD9A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Oral Squamous Cell Carcinoma </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E7D034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Stage: T1-T4 </w:t>
            </w:r>
          </w:p>
          <w:p w14:paraId="4CF3C7B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Clinical Stage: I - IV</w:t>
            </w:r>
          </w:p>
          <w:p w14:paraId="3F42446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N stage: </w:t>
            </w:r>
          </w:p>
          <w:p w14:paraId="6C46D35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N0 - N3</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427C6F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stroma</w:t>
            </w:r>
          </w:p>
          <w:p w14:paraId="3507E6E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cell nests </w:t>
            </w:r>
          </w:p>
          <w:p w14:paraId="0B317C7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epithelial</w:t>
            </w:r>
          </w:p>
          <w:p w14:paraId="0481A21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margin </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33847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Univariate analysis: </w:t>
            </w:r>
          </w:p>
          <w:p w14:paraId="5F6EF4E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w:t>
            </w:r>
          </w:p>
          <w:p w14:paraId="3EB6D41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(95% Cl) = 1.998 7.256 </w:t>
            </w:r>
          </w:p>
          <w:p w14:paraId="06F2F50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(95% Cl) = 0.382 1.232</w:t>
            </w:r>
          </w:p>
          <w:p w14:paraId="31AE1D3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T-bet (95% Cl) = 0.489 1.551</w:t>
            </w:r>
          </w:p>
          <w:p w14:paraId="7FA4093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p w14:paraId="530195C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HR = 0.733 </w:t>
            </w:r>
          </w:p>
          <w:p w14:paraId="7EDD0D8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0.411 1.308</w:t>
            </w:r>
          </w:p>
          <w:p w14:paraId="015CBA0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CD57 (95% Cl) = 3.646 16.338</w:t>
            </w:r>
          </w:p>
          <w:p w14:paraId="5D596B3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4A72300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Multivariate analysis: </w:t>
            </w:r>
          </w:p>
          <w:p w14:paraId="19A9AA8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w:t>
            </w:r>
          </w:p>
          <w:p w14:paraId="1CFFCE0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1.078 - 4.384</w:t>
            </w:r>
          </w:p>
          <w:p w14:paraId="1C903D0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(95% Cl) = 0.545-1.977</w:t>
            </w:r>
          </w:p>
          <w:p w14:paraId="64824F3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T-bet (95% Cl) = 0.580-1.959</w:t>
            </w:r>
          </w:p>
          <w:p w14:paraId="7626061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(95% Cl) = 0.825-2.848</w:t>
            </w:r>
          </w:p>
          <w:p w14:paraId="2BC465A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CD57 (95% Cl) = 2.678-15.623</w:t>
            </w:r>
          </w:p>
          <w:p w14:paraId="287D055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F42F1F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64940E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34BFC9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527084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5762FB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 CD4, CD68, CD57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2114CB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B9864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30F61DBB"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3913D22E"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Fujii </w:t>
            </w:r>
            <w:r w:rsidRPr="00EA387B">
              <w:rPr>
                <w:rFonts w:ascii="Calibri" w:eastAsia="Times New Roman" w:hAnsi="Calibri" w:cs="Calibri"/>
                <w:b/>
                <w:bCs/>
                <w:i/>
                <w:iCs/>
                <w:sz w:val="14"/>
                <w:szCs w:val="14"/>
                <w:lang w:eastAsia="en-GB"/>
              </w:rPr>
              <w:t>et al.,</w:t>
            </w:r>
            <w:r w:rsidRPr="00EA387B">
              <w:rPr>
                <w:rFonts w:ascii="Calibri" w:eastAsia="Times New Roman" w:hAnsi="Calibri" w:cs="Calibri"/>
                <w:b/>
                <w:bCs/>
                <w:sz w:val="14"/>
                <w:szCs w:val="14"/>
                <w:lang w:eastAsia="en-GB"/>
              </w:rPr>
              <w:t xml:space="preserve"> 2012</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72F2A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Cancer-associated fibroblasts and CD163- positive macrophages in oral squamous cell carcinoma: their clinicopathological and prognostic significance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D480A7" w14:textId="77777777" w:rsidR="00980A96" w:rsidRPr="00EA387B" w:rsidRDefault="00980A96" w:rsidP="00720B68">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Clinicopathological findings shows that grade 2 CAF group was significantly increased compared to Grade 0/1 group</w:t>
            </w:r>
          </w:p>
          <w:p w14:paraId="7F589481" w14:textId="77777777" w:rsidR="00980A96" w:rsidRPr="00EA387B" w:rsidRDefault="00980A96" w:rsidP="00F82BF4">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Grade 2 CAFs and high CD163-positive macrophage levels significantly correlated with a poor outcome in patients with OSCC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446133A" w14:textId="1534CF8B"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mean (median) number of CD68+ and CD163+ macrophages at the invasive areas of the OSCC specimens was 2.72 ± 3.53 (1.67) and 2.29 ± 3.38 (1.33) respectively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F5C3D0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Cancer associated fibroblasts and CD163- positive macrophages may be potential prognostic predictors of OSCC and associated with cancer invasion.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09D649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2012</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129FB0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Japan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28F4E0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108 = OSCC</w:t>
            </w:r>
          </w:p>
          <w:p w14:paraId="1EB01A6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24 = oral dysplasia</w:t>
            </w:r>
          </w:p>
          <w:p w14:paraId="64F201C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5 normal oral epithelial specimens </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33A8AF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OSCC = 67</w:t>
            </w:r>
          </w:p>
          <w:p w14:paraId="67F188C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dysplasia = 6</w:t>
            </w:r>
          </w:p>
          <w:p w14:paraId="381A42B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Normal oral epithelia =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27D63C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OSCC = 41</w:t>
            </w:r>
          </w:p>
          <w:p w14:paraId="7F6AB810" w14:textId="44A21DD5"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Oral </w:t>
            </w:r>
            <w:r w:rsidR="00C5386A" w:rsidRPr="006D2E7F">
              <w:rPr>
                <w:rFonts w:ascii="Calibri" w:eastAsia="Times New Roman" w:hAnsi="Calibri" w:cs="Calibri"/>
                <w:sz w:val="14"/>
                <w:szCs w:val="14"/>
                <w:lang w:eastAsia="en-GB"/>
              </w:rPr>
              <w:t>dysplasia</w:t>
            </w:r>
            <w:r w:rsidRPr="00EA387B">
              <w:rPr>
                <w:rFonts w:ascii="Calibri" w:eastAsia="Times New Roman" w:hAnsi="Calibri" w:cs="Calibri"/>
                <w:sz w:val="14"/>
                <w:szCs w:val="14"/>
                <w:lang w:eastAsia="en-GB"/>
              </w:rPr>
              <w:t xml:space="preserve"> = 18</w:t>
            </w:r>
          </w:p>
          <w:p w14:paraId="3C24430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Normal oral epithelia =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62C889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23-93</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581A86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A27630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Clinical Stage: I - IV</w:t>
            </w:r>
          </w:p>
          <w:p w14:paraId="340F8A1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Stage: T1-T4 </w:t>
            </w:r>
          </w:p>
          <w:p w14:paraId="5331802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 stage: N0-N3</w:t>
            </w:r>
          </w:p>
          <w:p w14:paraId="2D0F26C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95041E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stroma</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6FCA33D" w14:textId="77777777" w:rsidR="00980A96" w:rsidRPr="00EA387B" w:rsidRDefault="00980A96" w:rsidP="00BF0BA9">
            <w:pPr>
              <w:numPr>
                <w:ilvl w:val="1"/>
                <w:numId w:val="2"/>
              </w:num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CD163+ (Low vs High): </w:t>
            </w:r>
          </w:p>
          <w:p w14:paraId="350F4C1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Hazard ratio = 2.636</w:t>
            </w:r>
          </w:p>
          <w:p w14:paraId="26E66AD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1.021-6.083</w:t>
            </w:r>
          </w:p>
          <w:p w14:paraId="709D903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xml:space="preserve">P = </w:t>
            </w:r>
            <w:r w:rsidRPr="00EA387B">
              <w:rPr>
                <w:rFonts w:ascii="Calibri" w:eastAsia="Times New Roman" w:hAnsi="Calibri" w:cs="Calibri"/>
                <w:sz w:val="14"/>
                <w:szCs w:val="14"/>
                <w:lang w:eastAsia="en-GB"/>
              </w:rPr>
              <w:t>0.045</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7B1C30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994B15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64853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35664D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46692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and CD68</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E17932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975381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18F8BFB0"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CDF5211"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Ni </w:t>
            </w:r>
            <w:r w:rsidRPr="00EA387B">
              <w:rPr>
                <w:rFonts w:ascii="Calibri" w:eastAsia="Times New Roman" w:hAnsi="Calibri" w:cs="Calibri"/>
                <w:b/>
                <w:bCs/>
                <w:i/>
                <w:iCs/>
                <w:sz w:val="14"/>
                <w:szCs w:val="14"/>
                <w:lang w:eastAsia="en-GB"/>
              </w:rPr>
              <w:t>et al.,</w:t>
            </w:r>
            <w:r w:rsidRPr="00EA387B">
              <w:rPr>
                <w:rFonts w:ascii="Calibri" w:eastAsia="Times New Roman" w:hAnsi="Calibri" w:cs="Calibri"/>
                <w:b/>
                <w:bCs/>
                <w:sz w:val="14"/>
                <w:szCs w:val="14"/>
                <w:lang w:eastAsia="en-GB"/>
              </w:rPr>
              <w:t xml:space="preserve"> 2015</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E5C4CC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Microlocalization of CD68+ tumour-associated macrophages in tumour stroma correlated with poor clinical outcomes in oral squamous cell carcinoma patients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5FAA98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The number of CD68+ TAMs was remarkably increased from adjacent none-neoplasia tissues (NT) to tumour nest (TN), but tumour stroma (TS) was infiltrated with highest frequency of CD68+ TAM. </w:t>
            </w:r>
          </w:p>
          <w:p w14:paraId="3C46E9E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More CD68+ TAMs in TS but not NT or TN, were associated with high tumour grade, lymph node metastasis and shorter disease free survival </w:t>
            </w:r>
          </w:p>
          <w:p w14:paraId="0788036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High infiltration group of TAM in TS compartments correlated with poor overall survival and disease free survival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7F87BD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Mean number of CD68+ cells in NT, TN, and TS was 6.4 ± 5.5 cells, 34.3±13.9 and 56.7±24.9 cells respectively.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2B48C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TAM in TS was linked to higher TNM stage, LNM, and short OS or DFS</w:t>
            </w:r>
          </w:p>
          <w:p w14:paraId="437176D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Reduced number of monocytes and lymphocytes correlated to high infiltrated CD68+ TAMs in TS </w:t>
            </w:r>
          </w:p>
          <w:p w14:paraId="72E97C5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Our results suggest that microlocalisation of CD68+ TAMs in tumour stroma predicted poor clinical </w:t>
            </w:r>
            <w:r w:rsidRPr="00EA387B">
              <w:rPr>
                <w:rFonts w:ascii="Calibri" w:eastAsia="Times New Roman" w:hAnsi="Calibri" w:cs="Calibri"/>
                <w:sz w:val="14"/>
                <w:szCs w:val="14"/>
                <w:lang w:eastAsia="en-GB"/>
              </w:rPr>
              <w:lastRenderedPageBreak/>
              <w:t xml:space="preserve">outcome for OSCC patients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254B63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2015</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6DFC2F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China</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148175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91</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5B339C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38</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7BBB2F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53</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6CED39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0-55</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797A0A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Oral Squamous Cell Carcinoma </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EFB9A0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TNM stage: I - IV</w:t>
            </w:r>
          </w:p>
          <w:p w14:paraId="455123E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DB76F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nest</w:t>
            </w:r>
          </w:p>
          <w:p w14:paraId="02709D7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stroma </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5563B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in Normal tissue:</w:t>
            </w:r>
          </w:p>
          <w:p w14:paraId="4840B8D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Hazard ratio = 0.717</w:t>
            </w:r>
          </w:p>
          <w:p w14:paraId="76009F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0.145-3.541</w:t>
            </w:r>
          </w:p>
          <w:p w14:paraId="10FF20B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xml:space="preserve">P </w:t>
            </w:r>
            <w:r w:rsidRPr="00EA387B">
              <w:rPr>
                <w:rFonts w:ascii="Calibri" w:eastAsia="Times New Roman" w:hAnsi="Calibri" w:cs="Calibri"/>
                <w:sz w:val="14"/>
                <w:szCs w:val="14"/>
                <w:lang w:eastAsia="en-GB"/>
              </w:rPr>
              <w:t>= 0.846</w:t>
            </w:r>
          </w:p>
          <w:p w14:paraId="2696CA9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CD68 in tumour stroma: </w:t>
            </w:r>
          </w:p>
          <w:p w14:paraId="01E7195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Hazard ratio = 1.947</w:t>
            </w:r>
          </w:p>
          <w:p w14:paraId="19C2E1B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1.512 - 10.379</w:t>
            </w:r>
          </w:p>
          <w:p w14:paraId="6459E02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xml:space="preserve">P = </w:t>
            </w:r>
            <w:r w:rsidRPr="00EA387B">
              <w:rPr>
                <w:rFonts w:ascii="Calibri" w:eastAsia="Times New Roman" w:hAnsi="Calibri" w:cs="Calibri"/>
                <w:sz w:val="14"/>
                <w:szCs w:val="14"/>
                <w:lang w:eastAsia="en-GB"/>
              </w:rPr>
              <w:t xml:space="preserve">0.033 </w:t>
            </w:r>
          </w:p>
          <w:p w14:paraId="66FA261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in tumour nest:</w:t>
            </w:r>
          </w:p>
          <w:p w14:paraId="25952BD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Hazard ratio = 0.904</w:t>
            </w:r>
          </w:p>
          <w:p w14:paraId="66BF698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95% Cl = 0.180 - 4.552</w:t>
            </w:r>
          </w:p>
          <w:p w14:paraId="5840A0D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xml:space="preserve">P = </w:t>
            </w:r>
            <w:r w:rsidRPr="00EA387B">
              <w:rPr>
                <w:rFonts w:ascii="Calibri" w:eastAsia="Times New Roman" w:hAnsi="Calibri" w:cs="Calibri"/>
                <w:sz w:val="14"/>
                <w:szCs w:val="14"/>
                <w:lang w:eastAsia="en-GB"/>
              </w:rPr>
              <w:t>0.802</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266F31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2882F1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D83639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4916B3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9CAB3B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05C1BE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Microlocalisation</w:t>
            </w:r>
          </w:p>
          <w:p w14:paraId="28A7A39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p w14:paraId="423BD1E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associated macrophages </w:t>
            </w:r>
          </w:p>
          <w:p w14:paraId="0BF0D3B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Prognosis </w:t>
            </w:r>
          </w:p>
          <w:p w14:paraId="30F7589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Oral Squamous Cell Carcinoma </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C0F7B4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20FFA17E"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19DE9091"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Fujita et al., 2014</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A5CC50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Prognostic Significance of Interleukin-8 and CD163-positive cell infiltration in tumour tissues in patients with Oral Squamous Cell Carcinoma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40023F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Disease free survival (DFS) was significantly lower in the stage I/II OSCC patients with low serum IL-8 levels compared to those with higher levels</w:t>
            </w:r>
          </w:p>
          <w:p w14:paraId="346FB27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Patients with low CD163 (invasive front) showed longer OS and DFS compared to patients with high CD163 (IF). </w:t>
            </w:r>
          </w:p>
          <w:p w14:paraId="3C1D3D0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expression of IL-8 and density of CD163+ cells in the tumour invasive front were correlated with the serum IL-8 levels and associated with poor clinical outcome in all patients </w:t>
            </w:r>
          </w:p>
          <w:p w14:paraId="48BAA37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Combination of N status with IL-8(T) and CD163(IF) may be a new criterion for discriminating between OSCC patients at high and low risk for tumour relapse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B1EAE8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319584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IL-8 may be involved in poor clinical outcomes via generation of CD163+ M2 macrophages and these factors may have prognostic value in patients with resectable OSCSS.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E5BF48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2014</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C0D85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Japan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938D17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50</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3C84A6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32</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5DAFD2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18</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D2F842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48-93</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2EEDAF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051F72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stage = I-IV</w:t>
            </w:r>
          </w:p>
          <w:p w14:paraId="1384C9A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 Stage =N0- N3</w:t>
            </w:r>
          </w:p>
          <w:p w14:paraId="6838BDA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3D042B3" w14:textId="7424425E"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stroma </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9BAC1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A269B4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(High vs Low):</w:t>
            </w:r>
          </w:p>
          <w:p w14:paraId="761F6B8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2.625</w:t>
            </w:r>
          </w:p>
          <w:p w14:paraId="2E6CDC2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1.312-5.253</w:t>
            </w:r>
          </w:p>
          <w:p w14:paraId="2145BFE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0.006</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BE083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F2A128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C1548A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7908AA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CD163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F230E2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EE34CA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Web of Science </w:t>
            </w:r>
          </w:p>
        </w:tc>
      </w:tr>
      <w:tr w:rsidR="008F510C" w:rsidRPr="00980A96" w14:paraId="0C133EF1"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9E332EC"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Lin et al., 2015</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C253A8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High PD-L1 Expression Correlates with Metastasis and poor prognosis in oral squamous cell carcinoma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B43797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Advanced tumours were also more prevalent than early tumours in male patients (male vs. female, 59.8% vs. 33.3% for stage IV, P&lt;0.0001; 69.1% vs. 46.4% for stage III+IV, P = 0.0006; 53.8% vs. 27.5% for T3+T4, P = 0.0001)</w:t>
            </w:r>
          </w:p>
          <w:p w14:paraId="16972F5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Overall survival data showed death was a more common outcome in male than in female OSCC patients (62.3% Male vs 24.6% Female P&lt;0.0001) </w:t>
            </w:r>
          </w:p>
          <w:p w14:paraId="40FFA1C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High PD-L1 cytoplasm intensity was more likely in tumours from female than from male patients (staining intensity: 0–1, 60.6% for male vs. 42.0% for female; staining intensity: 2–3, 58.0% for female vs. 39.4% for male, P = 0.0062)</w:t>
            </w:r>
          </w:p>
          <w:p w14:paraId="29EE173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High expression levels of PD-L1 were also more likely to occur in tumours from female than from male patients</w:t>
            </w:r>
          </w:p>
          <w:p w14:paraId="2DFDCDE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High PD-L1 expression (staining intensity: 2-3) was significantly associated with distant metastasis </w:t>
            </w:r>
          </w:p>
          <w:p w14:paraId="7CD216B2" w14:textId="384700AF"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expression was not associated with the death rate of patients in terms of overall survival. </w:t>
            </w:r>
          </w:p>
          <w:p w14:paraId="22BDB8C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Male gender, smoking and advanced stage (clinicopathological characteristics) with poor clinical outcome in univariate analysis</w:t>
            </w:r>
          </w:p>
          <w:p w14:paraId="6367805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High PD-L1 expression was significantly associated with poor prognosis in male patients and smoking patients in multivariate analysis.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4B36AB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PD-L1 Expression:</w:t>
            </w:r>
          </w:p>
          <w:p w14:paraId="4211B18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Low:</w:t>
            </w:r>
          </w:p>
          <w:p w14:paraId="3BD4EAC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Male: 143 (83.1)</w:t>
            </w:r>
          </w:p>
          <w:p w14:paraId="723FA07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Female: 29 (16.9)</w:t>
            </w:r>
          </w:p>
          <w:p w14:paraId="0DFCF79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I+II tumour stage: 61 (55.5)</w:t>
            </w:r>
          </w:p>
          <w:p w14:paraId="3CB2177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III+IV tumour stage: 111 (56.9) </w:t>
            </w:r>
          </w:p>
          <w:p w14:paraId="173B2D5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Overall Survival: Alive (87 (61.7))/Dead (85(51.8))</w:t>
            </w:r>
          </w:p>
          <w:p w14:paraId="5448094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High:</w:t>
            </w:r>
          </w:p>
          <w:p w14:paraId="6A99918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Male: 93 (69.9)</w:t>
            </w:r>
          </w:p>
          <w:p w14:paraId="20700D7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Female: 40 (30.1)</w:t>
            </w:r>
          </w:p>
          <w:p w14:paraId="05C1043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I+II tumour stage: 49 (44.5)</w:t>
            </w:r>
          </w:p>
          <w:p w14:paraId="58CA989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III+IV tumour stage: 84(43.1)</w:t>
            </w:r>
          </w:p>
          <w:p w14:paraId="6F4D2CC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Overall Survival: Alive 54(38.3) /Dead (79)(48.2))</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EBAB5A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Results suggested that patients with high PD-L1 expression had poor clinical outcome and might require PD-L1-targeted immunotherapy to improve their prognosis</w:t>
            </w:r>
          </w:p>
          <w:p w14:paraId="5BD8149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B9B035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2015</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DB8DD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Taiwan </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5DE947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305</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6F2FED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3263A0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C8C9E1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999D54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Oral Squamous Cell Carcinoma </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D973D4F" w14:textId="4BC5BE48"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Stage: I-IV</w:t>
            </w:r>
          </w:p>
          <w:p w14:paraId="2E17F4F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 value: T1-T4</w:t>
            </w:r>
          </w:p>
          <w:p w14:paraId="681D658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 value: N0 - N2</w:t>
            </w:r>
          </w:p>
          <w:p w14:paraId="4ACD801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Distant Metastasis: M0-M1</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B75F6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DD3A79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Expression</w:t>
            </w:r>
          </w:p>
          <w:p w14:paraId="7BD230E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High/Low:</w:t>
            </w:r>
          </w:p>
          <w:p w14:paraId="49AA622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1.209</w:t>
            </w:r>
          </w:p>
          <w:p w14:paraId="288495B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0.890-1.643</w:t>
            </w:r>
          </w:p>
          <w:p w14:paraId="01713B25" w14:textId="3138F7FC" w:rsidR="00314CCD" w:rsidRPr="00EA387B" w:rsidRDefault="00980A96" w:rsidP="00980A96">
            <w:pPr>
              <w:spacing w:after="0" w:line="240" w:lineRule="auto"/>
              <w:rPr>
                <w:rFonts w:ascii="Calibri" w:eastAsia="Times New Roman" w:hAnsi="Calibri" w:cs="Calibri"/>
                <w:i/>
                <w:iCs/>
                <w:sz w:val="14"/>
                <w:szCs w:val="14"/>
                <w:lang w:eastAsia="en-GB"/>
              </w:rPr>
            </w:pPr>
            <w:r w:rsidRPr="00EA387B">
              <w:rPr>
                <w:rFonts w:ascii="Calibri" w:eastAsia="Times New Roman" w:hAnsi="Calibri" w:cs="Calibri"/>
                <w:i/>
                <w:iCs/>
                <w:sz w:val="14"/>
                <w:szCs w:val="14"/>
                <w:lang w:eastAsia="en-GB"/>
              </w:rPr>
              <w:t>P = 0.225</w:t>
            </w:r>
            <w:r w:rsidR="00314CCD" w:rsidRPr="006D2E7F">
              <w:rPr>
                <w:rFonts w:ascii="Calibri" w:eastAsia="Times New Roman" w:hAnsi="Calibri" w:cs="Calibri"/>
                <w:i/>
                <w:iCs/>
                <w:sz w:val="14"/>
                <w:szCs w:val="14"/>
                <w:lang w:eastAsia="en-GB"/>
              </w:rPr>
              <w:t xml:space="preserve">4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FF6B8D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71E8F2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A6708F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DCFA2E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1A85F9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367F33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5E9F97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PubMed </w:t>
            </w:r>
          </w:p>
        </w:tc>
      </w:tr>
      <w:tr w:rsidR="008F510C" w:rsidRPr="00980A96" w14:paraId="3BFF7CDE"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96263B0"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Kikuchi et al., 2021</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E97435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Clinical significance of tumour-associated immune cells in patients with oral squamous cell carcinoma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BFFF3E3"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was expressed in 37 patients (36%) </w:t>
            </w:r>
          </w:p>
          <w:p w14:paraId="253C5902"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The median number of total PD‐L1, PD‐1, CD3, CD4, CD8, and CD68‐positive TAICs was 10, 20, 80, 10, 70, and 50, respectively.</w:t>
            </w:r>
          </w:p>
          <w:p w14:paraId="172F59DA"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The median number of intratumoural PD‐L1, PD‐1, CD3, CD4, CD8, and CD68‐positive TAICs was 0, 5, 12, 2, 10, and 10, respectively, whereas </w:t>
            </w:r>
            <w:r w:rsidRPr="00EA387B">
              <w:rPr>
                <w:rFonts w:ascii="Calibri" w:eastAsia="Times New Roman" w:hAnsi="Calibri" w:cs="Calibri"/>
                <w:sz w:val="14"/>
                <w:szCs w:val="14"/>
                <w:lang w:eastAsia="en-GB"/>
              </w:rPr>
              <w:lastRenderedPageBreak/>
              <w:t>that of stromal miPD‐L1, PD‐1, CD3, CD4, CD8, CD68‐positive TAICs was 10, 15, 60, 10, 50, and 30, respectively.</w:t>
            </w:r>
          </w:p>
          <w:p w14:paraId="0E96B58C"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Stromal miPD‐L1, PD‐1, CD3, CD4, CD8, and CD68‐positive TAICs were significantly more predominant than intra‐tumoral</w:t>
            </w:r>
          </w:p>
          <w:p w14:paraId="46BF7BE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w:t>
            </w:r>
          </w:p>
          <w:p w14:paraId="3B01F23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B4F30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PD-L1 expression in immunohistochemistry:</w:t>
            </w:r>
          </w:p>
          <w:p w14:paraId="3CDC3A5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85% (88/103) (cut off &gt;1)</w:t>
            </w:r>
          </w:p>
          <w:p w14:paraId="67B723E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15% (15/103) (cut off &gt;20)</w:t>
            </w:r>
          </w:p>
          <w:p w14:paraId="77E917E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Median number of total in IHC:</w:t>
            </w:r>
          </w:p>
          <w:p w14:paraId="4446E19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 10</w:t>
            </w:r>
          </w:p>
          <w:p w14:paraId="6E49549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 = 20</w:t>
            </w:r>
          </w:p>
          <w:p w14:paraId="0E40076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 = 80</w:t>
            </w:r>
          </w:p>
          <w:p w14:paraId="49695B6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 10</w:t>
            </w:r>
          </w:p>
          <w:p w14:paraId="69E5505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 = 70</w:t>
            </w:r>
          </w:p>
          <w:p w14:paraId="1D48217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 60</w:t>
            </w:r>
          </w:p>
          <w:p w14:paraId="73381EA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Median number of intratumoural IHC:</w:t>
            </w:r>
          </w:p>
          <w:p w14:paraId="4AFDD44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PD-L1 = 0</w:t>
            </w:r>
          </w:p>
          <w:p w14:paraId="06C4696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 = 5</w:t>
            </w:r>
          </w:p>
          <w:p w14:paraId="380C593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 = 12</w:t>
            </w:r>
          </w:p>
          <w:p w14:paraId="4CC6EFF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 2</w:t>
            </w:r>
          </w:p>
          <w:p w14:paraId="06F19D6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 = 10</w:t>
            </w:r>
          </w:p>
          <w:p w14:paraId="7E30E9E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 10</w:t>
            </w:r>
          </w:p>
          <w:p w14:paraId="358A79E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Median number if stroma in IHC:</w:t>
            </w:r>
          </w:p>
          <w:p w14:paraId="1C730F8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 10</w:t>
            </w:r>
          </w:p>
          <w:p w14:paraId="0528410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 = 15</w:t>
            </w:r>
          </w:p>
          <w:p w14:paraId="74539B3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 = 60</w:t>
            </w:r>
          </w:p>
          <w:p w14:paraId="46762F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 10</w:t>
            </w:r>
          </w:p>
          <w:p w14:paraId="3EFB980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 = 50</w:t>
            </w:r>
          </w:p>
          <w:p w14:paraId="5504FCF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 30</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B6A870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 xml:space="preserve">PD-1 and CD68 in the intratumoural area revealed as positive and negative prognostic markers of OS for OSSC patients, respectively.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0CBAAF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2020</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06B2DE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Japan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ACDFFF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103</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BE2944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60</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E5EE6E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43</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9CCB22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30-92</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DAC57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FD6AE36" w14:textId="77777777" w:rsidR="00980A96" w:rsidRPr="00EA387B" w:rsidRDefault="00980A96" w:rsidP="00BF0BA9">
            <w:pPr>
              <w:numPr>
                <w:ilvl w:val="1"/>
                <w:numId w:val="3"/>
              </w:num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Classifi</w:t>
            </w:r>
            <w:r w:rsidRPr="00EA387B">
              <w:rPr>
                <w:rFonts w:ascii="Calibri" w:eastAsia="Times New Roman" w:hAnsi="Calibri" w:cs="Calibri"/>
                <w:sz w:val="14"/>
                <w:szCs w:val="14"/>
                <w:lang w:eastAsia="en-GB"/>
              </w:rPr>
              <w:lastRenderedPageBreak/>
              <w:t>cation: T1-T4</w:t>
            </w:r>
          </w:p>
          <w:p w14:paraId="19E6462E" w14:textId="77777777" w:rsidR="00980A96" w:rsidRPr="00EA387B" w:rsidRDefault="00980A96" w:rsidP="00BF0BA9">
            <w:pPr>
              <w:numPr>
                <w:ilvl w:val="1"/>
                <w:numId w:val="3"/>
              </w:num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Nodal classification: N0-N3</w:t>
            </w:r>
          </w:p>
          <w:p w14:paraId="321F103A" w14:textId="77777777" w:rsidR="00980A96" w:rsidRPr="00EA387B" w:rsidRDefault="00980A96" w:rsidP="00BF0BA9">
            <w:pPr>
              <w:numPr>
                <w:ilvl w:val="1"/>
                <w:numId w:val="3"/>
              </w:num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Stage: I-IV</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CBE5FC7"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Intratumoural area</w:t>
            </w:r>
          </w:p>
          <w:p w14:paraId="5E6D45E9" w14:textId="718E54DD"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stroma</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11FD5C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Total immune marker expression:</w:t>
            </w:r>
          </w:p>
          <w:p w14:paraId="5D59473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PD-L1(High vs Low):</w:t>
            </w:r>
          </w:p>
          <w:p w14:paraId="450D5EC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2CFA87D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0.50</w:t>
            </w:r>
          </w:p>
          <w:p w14:paraId="2239DA6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0.18-1.41</w:t>
            </w:r>
          </w:p>
          <w:p w14:paraId="207CB46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0.19</w:t>
            </w:r>
          </w:p>
          <w:p w14:paraId="6B22A1F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PD-1(High vs Low):</w:t>
            </w:r>
          </w:p>
          <w:p w14:paraId="2AACA84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3CC03E9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HR: 0.28</w:t>
            </w:r>
          </w:p>
          <w:p w14:paraId="362E642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0.08-0.97</w:t>
            </w:r>
          </w:p>
          <w:p w14:paraId="2CC3F2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0.04</w:t>
            </w:r>
          </w:p>
          <w:p w14:paraId="7443678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w:t>
            </w:r>
          </w:p>
          <w:p w14:paraId="58E80C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0.20</w:t>
            </w:r>
          </w:p>
          <w:p w14:paraId="5926E0C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0.05-0.78</w:t>
            </w:r>
          </w:p>
          <w:p w14:paraId="4389028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0.02</w:t>
            </w:r>
          </w:p>
          <w:p w14:paraId="7A32307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CD3(High vs Low):</w:t>
            </w:r>
          </w:p>
          <w:p w14:paraId="727AD72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6D9D697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0.69</w:t>
            </w:r>
          </w:p>
          <w:p w14:paraId="4AE3897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95% Cl: 0.26-1.88 </w:t>
            </w:r>
          </w:p>
          <w:p w14:paraId="161C891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0.47</w:t>
            </w:r>
          </w:p>
          <w:p w14:paraId="5FC43DC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CD4(High vs Low):</w:t>
            </w:r>
          </w:p>
          <w:p w14:paraId="0682CFE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636E141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0.50</w:t>
            </w:r>
          </w:p>
          <w:p w14:paraId="11050A3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0.18-1.41</w:t>
            </w:r>
          </w:p>
          <w:p w14:paraId="0966071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0.19</w:t>
            </w:r>
          </w:p>
          <w:p w14:paraId="2A2A19A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CD8(High vs Low):</w:t>
            </w:r>
          </w:p>
          <w:p w14:paraId="2C25F20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46C2EDC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0.72</w:t>
            </w:r>
          </w:p>
          <w:p w14:paraId="3F27DE9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0.27-1.94</w:t>
            </w:r>
          </w:p>
          <w:p w14:paraId="7792A8F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0.51</w:t>
            </w:r>
          </w:p>
          <w:p w14:paraId="5068ACF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CD68(High vs Low):</w:t>
            </w:r>
          </w:p>
          <w:p w14:paraId="5AC1A55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Univariate: </w:t>
            </w:r>
          </w:p>
          <w:p w14:paraId="51F14B0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0.84</w:t>
            </w:r>
          </w:p>
          <w:p w14:paraId="30D93E5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0.31-2.27</w:t>
            </w:r>
          </w:p>
          <w:p w14:paraId="193A4D4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0.73</w:t>
            </w:r>
          </w:p>
          <w:p w14:paraId="6CB462C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5F3F5EE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Intratumoural immune marker expression:</w:t>
            </w:r>
          </w:p>
          <w:p w14:paraId="1D28139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PD-L1(High vs Low):</w:t>
            </w:r>
          </w:p>
          <w:p w14:paraId="25845BA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61BBE5C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2.24</w:t>
            </w:r>
          </w:p>
          <w:p w14:paraId="006C2A7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0.83-6.06</w:t>
            </w:r>
          </w:p>
          <w:p w14:paraId="50A6D3A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0.11</w:t>
            </w:r>
          </w:p>
          <w:p w14:paraId="2B128A2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PD-1(High vs Low):</w:t>
            </w:r>
          </w:p>
          <w:p w14:paraId="0149FED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Univariate</w:t>
            </w:r>
          </w:p>
          <w:p w14:paraId="0EC2325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0.53</w:t>
            </w:r>
          </w:p>
          <w:p w14:paraId="4B11B18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0.19-1.51</w:t>
            </w:r>
          </w:p>
          <w:p w14:paraId="00D3AA4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0.24</w:t>
            </w:r>
          </w:p>
          <w:p w14:paraId="5337F9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CD3(High vs Low):</w:t>
            </w:r>
          </w:p>
          <w:p w14:paraId="2574143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71373C8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0.65</w:t>
            </w:r>
          </w:p>
          <w:p w14:paraId="6F1A88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0.25-1.71</w:t>
            </w:r>
          </w:p>
          <w:p w14:paraId="67FECDF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0.38</w:t>
            </w:r>
          </w:p>
          <w:p w14:paraId="352FED5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CD4(High vs Low):</w:t>
            </w:r>
          </w:p>
          <w:p w14:paraId="0AB2264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6F73910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0.39</w:t>
            </w:r>
          </w:p>
          <w:p w14:paraId="3F8F1FC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0.13-1.18</w:t>
            </w:r>
          </w:p>
          <w:p w14:paraId="70C28FD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0.09</w:t>
            </w:r>
          </w:p>
          <w:p w14:paraId="7314618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w:t>
            </w:r>
          </w:p>
          <w:p w14:paraId="6FEE43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0.34</w:t>
            </w:r>
          </w:p>
          <w:p w14:paraId="22ABB52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0.09-1.35</w:t>
            </w:r>
          </w:p>
          <w:p w14:paraId="3051CDD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0.13</w:t>
            </w:r>
          </w:p>
          <w:p w14:paraId="4D51C8A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CD8(High vs Low):</w:t>
            </w:r>
          </w:p>
          <w:p w14:paraId="558BA6E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698FC06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0.49</w:t>
            </w:r>
          </w:p>
          <w:p w14:paraId="4AD4A48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0.16-1.51</w:t>
            </w:r>
          </w:p>
          <w:p w14:paraId="5AB9A87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0.21</w:t>
            </w:r>
          </w:p>
          <w:p w14:paraId="1F809EA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CD68(High vs Low):</w:t>
            </w:r>
          </w:p>
          <w:p w14:paraId="2452E96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Univariate: </w:t>
            </w:r>
          </w:p>
          <w:p w14:paraId="1BCFBBA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2.43</w:t>
            </w:r>
          </w:p>
          <w:p w14:paraId="0B5EBCD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0.90-6.58</w:t>
            </w:r>
          </w:p>
          <w:p w14:paraId="4C7FC01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0.08</w:t>
            </w:r>
          </w:p>
          <w:p w14:paraId="5BF9752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w:t>
            </w:r>
          </w:p>
          <w:p w14:paraId="0C10D6A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4.15</w:t>
            </w:r>
          </w:p>
          <w:p w14:paraId="7D078AF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1.36-12.7</w:t>
            </w:r>
          </w:p>
          <w:p w14:paraId="256A74A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0.01</w:t>
            </w:r>
          </w:p>
          <w:p w14:paraId="000A058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1B83FF1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Stromal immune marker expression: </w:t>
            </w:r>
          </w:p>
          <w:p w14:paraId="31DDDB6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PD-L1(High vs Low):</w:t>
            </w:r>
          </w:p>
          <w:p w14:paraId="2737529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Univariate:</w:t>
            </w:r>
          </w:p>
          <w:p w14:paraId="10693A7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0.50</w:t>
            </w:r>
          </w:p>
          <w:p w14:paraId="2FF48A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0.18-1.41</w:t>
            </w:r>
          </w:p>
          <w:p w14:paraId="5364A00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0.19</w:t>
            </w:r>
          </w:p>
          <w:p w14:paraId="565B3C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PD-1(High vs Low):</w:t>
            </w:r>
          </w:p>
          <w:p w14:paraId="051F6C5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218B82E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0.65</w:t>
            </w:r>
          </w:p>
          <w:p w14:paraId="002A584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0.24-1.76</w:t>
            </w:r>
          </w:p>
          <w:p w14:paraId="738851C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0.39</w:t>
            </w:r>
          </w:p>
          <w:p w14:paraId="4FB6714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CD3(High vs Low):</w:t>
            </w:r>
          </w:p>
          <w:p w14:paraId="2523756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5C5B990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1.78</w:t>
            </w:r>
          </w:p>
          <w:p w14:paraId="410A8C9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0.67-4.72</w:t>
            </w:r>
          </w:p>
          <w:p w14:paraId="4CC1528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0.25</w:t>
            </w:r>
          </w:p>
          <w:p w14:paraId="2F87E9A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CD4(High vs Low):</w:t>
            </w:r>
          </w:p>
          <w:p w14:paraId="0C1C432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3348F69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0.68</w:t>
            </w:r>
          </w:p>
          <w:p w14:paraId="1128433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0.24-1.94</w:t>
            </w:r>
          </w:p>
          <w:p w14:paraId="50A7585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0.48</w:t>
            </w:r>
          </w:p>
          <w:p w14:paraId="3EF4E6C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CD8(High vs Low):</w:t>
            </w:r>
          </w:p>
          <w:p w14:paraId="5445828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w:t>
            </w:r>
          </w:p>
          <w:p w14:paraId="09AE78E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2.29</w:t>
            </w:r>
          </w:p>
          <w:p w14:paraId="055FE37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0.84-6.26</w:t>
            </w:r>
          </w:p>
          <w:p w14:paraId="4AA55D7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0.11</w:t>
            </w:r>
          </w:p>
          <w:p w14:paraId="45004C6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CD68(High vs Low):</w:t>
            </w:r>
          </w:p>
          <w:p w14:paraId="37806DB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Univariate: </w:t>
            </w:r>
          </w:p>
          <w:p w14:paraId="54FD5B2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0.71</w:t>
            </w:r>
          </w:p>
          <w:p w14:paraId="169E829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0.26-1.9</w:t>
            </w:r>
          </w:p>
          <w:p w14:paraId="5A04C72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0.49</w:t>
            </w:r>
          </w:p>
          <w:p w14:paraId="0458028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F6597B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77AE4F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0AE66C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DAA40C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83F3A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p w14:paraId="2C26248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w:t>
            </w:r>
          </w:p>
          <w:p w14:paraId="4E5536D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w:t>
            </w:r>
          </w:p>
          <w:p w14:paraId="362605D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w:t>
            </w:r>
          </w:p>
          <w:p w14:paraId="6BB9D46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w:t>
            </w:r>
          </w:p>
          <w:p w14:paraId="5315629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673C3C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22A4E0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Scopus</w:t>
            </w:r>
          </w:p>
        </w:tc>
      </w:tr>
      <w:tr w:rsidR="008F510C" w:rsidRPr="00980A96" w14:paraId="7381FF83"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36617D4"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lastRenderedPageBreak/>
              <w:t xml:space="preserve">Kogashiwaet al., 2017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EAD0F4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expression confers better prognosis in locally advanced oral squamous cell carcinoma (LAOSCC)</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030333F"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and PD-L2 were expressed in 52.4% and 23.8% in LAOSCC cases</w:t>
            </w:r>
          </w:p>
          <w:p w14:paraId="742AB58D"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positivity was significantly associated with disease free (p= 0.024) and overall survival (p= 0.008) of LAOSCC patients</w:t>
            </w:r>
          </w:p>
          <w:p w14:paraId="2583CED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CA4032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Expression: </w:t>
            </w:r>
          </w:p>
          <w:p w14:paraId="4B1A97B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Low:</w:t>
            </w:r>
          </w:p>
          <w:p w14:paraId="563BDE9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Negative = 29</w:t>
            </w:r>
          </w:p>
          <w:p w14:paraId="51D711C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Positive = 13</w:t>
            </w:r>
          </w:p>
          <w:p w14:paraId="42D2181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High:</w:t>
            </w:r>
          </w:p>
          <w:p w14:paraId="10F2526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Negative = 11</w:t>
            </w:r>
          </w:p>
          <w:p w14:paraId="3B4F96B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Positive = 31</w:t>
            </w:r>
          </w:p>
          <w:p w14:paraId="7756339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PD-L2 Expression:</w:t>
            </w:r>
          </w:p>
          <w:p w14:paraId="4105EF6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Low:</w:t>
            </w:r>
          </w:p>
          <w:p w14:paraId="1BBE7AF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Negative = 33</w:t>
            </w:r>
          </w:p>
          <w:p w14:paraId="75803E2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Positive = 9</w:t>
            </w:r>
          </w:p>
          <w:p w14:paraId="53DE4C7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High:</w:t>
            </w:r>
          </w:p>
          <w:p w14:paraId="1229594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Negative = 31</w:t>
            </w:r>
          </w:p>
          <w:p w14:paraId="575230D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Positive = 11</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72959BE"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 xml:space="preserve">PD-L1 expression was associated with CD8+ tumour-infiltrating lymphocytes and a better outcome in </w:t>
            </w:r>
            <w:r w:rsidRPr="00EA387B">
              <w:rPr>
                <w:rFonts w:ascii="Calibri" w:eastAsia="Times New Roman" w:hAnsi="Calibri" w:cs="Calibri"/>
                <w:sz w:val="14"/>
                <w:szCs w:val="14"/>
                <w:lang w:eastAsia="en-GB"/>
              </w:rPr>
              <w:lastRenderedPageBreak/>
              <w:t>patients with LAOSCC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8647E2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2017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24782F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Japan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C791D4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84</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D65A9F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57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036AC9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C8815B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20-92</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BB5E6C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Locally advanced oral squamous cell carcinoma</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C63F5C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stage: I-IV</w:t>
            </w:r>
          </w:p>
          <w:p w14:paraId="11D7B83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Nodal stage: N0-N2</w:t>
            </w:r>
          </w:p>
          <w:p w14:paraId="1BC209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DFE69FD"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Tongue</w:t>
            </w:r>
          </w:p>
          <w:p w14:paraId="2435066C"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Floor of the mouth</w:t>
            </w:r>
          </w:p>
          <w:p w14:paraId="21442C49"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Buccal</w:t>
            </w:r>
          </w:p>
          <w:p w14:paraId="4F63B832"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Gingiva</w:t>
            </w:r>
          </w:p>
          <w:p w14:paraId="3F9E4189"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Hard Palate</w:t>
            </w:r>
          </w:p>
          <w:p w14:paraId="354509C6"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Cheek lining</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494C51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 analysis:</w:t>
            </w:r>
          </w:p>
          <w:p w14:paraId="4A59431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w:t>
            </w:r>
          </w:p>
          <w:p w14:paraId="5D6EC2D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0.257</w:t>
            </w:r>
          </w:p>
          <w:p w14:paraId="7D364A0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0.102-0.649</w:t>
            </w:r>
          </w:p>
          <w:p w14:paraId="26C32C7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0.006</w:t>
            </w:r>
          </w:p>
          <w:p w14:paraId="288E7C9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PD-L2+:</w:t>
            </w:r>
          </w:p>
          <w:p w14:paraId="7D4DB99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0.442</w:t>
            </w:r>
          </w:p>
          <w:p w14:paraId="29D6AE4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95% Cl = 0.132-1.486</w:t>
            </w:r>
          </w:p>
          <w:p w14:paraId="2BE999F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0.187</w:t>
            </w:r>
          </w:p>
          <w:p w14:paraId="3BC451F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CD8 (High): </w:t>
            </w:r>
          </w:p>
          <w:p w14:paraId="7589B4F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0.499</w:t>
            </w:r>
          </w:p>
          <w:p w14:paraId="3EF05D1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0.214-1.16</w:t>
            </w:r>
          </w:p>
          <w:p w14:paraId="262F406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0.109</w:t>
            </w:r>
          </w:p>
          <w:p w14:paraId="7DC6601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 anal</w:t>
            </w:r>
          </w:p>
          <w:p w14:paraId="3E6261A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w:t>
            </w:r>
          </w:p>
          <w:p w14:paraId="5F48F5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0.256</w:t>
            </w:r>
          </w:p>
          <w:p w14:paraId="0D0A5A7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0.101-0.646</w:t>
            </w:r>
          </w:p>
          <w:p w14:paraId="613C77E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0.008</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7D053A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E26D24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 analysis:</w:t>
            </w:r>
          </w:p>
          <w:p w14:paraId="725D39F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w:t>
            </w:r>
          </w:p>
          <w:p w14:paraId="7D84B81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0.576</w:t>
            </w:r>
          </w:p>
          <w:p w14:paraId="6796B5E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95% Cl = </w:t>
            </w:r>
            <w:r w:rsidRPr="00EA387B">
              <w:rPr>
                <w:rFonts w:ascii="Calibri" w:eastAsia="Times New Roman" w:hAnsi="Calibri" w:cs="Calibri"/>
                <w:sz w:val="14"/>
                <w:szCs w:val="14"/>
                <w:lang w:eastAsia="en-GB"/>
              </w:rPr>
              <w:lastRenderedPageBreak/>
              <w:t>0.274-0.956</w:t>
            </w:r>
          </w:p>
          <w:p w14:paraId="1BCD224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0.0372</w:t>
            </w:r>
          </w:p>
          <w:p w14:paraId="27A8E2F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PD-L2+:</w:t>
            </w:r>
          </w:p>
          <w:p w14:paraId="1517400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1.01</w:t>
            </w:r>
          </w:p>
          <w:p w14:paraId="37FEEA8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0.431-2.37</w:t>
            </w:r>
          </w:p>
          <w:p w14:paraId="4979506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0.978</w:t>
            </w:r>
          </w:p>
          <w:p w14:paraId="4E0D90A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CD8 (High): </w:t>
            </w:r>
          </w:p>
          <w:p w14:paraId="797404D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0.717</w:t>
            </w:r>
          </w:p>
          <w:p w14:paraId="72EB0E6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0.342-1.50</w:t>
            </w:r>
          </w:p>
          <w:p w14:paraId="3E93DB1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0.378</w:t>
            </w:r>
          </w:p>
          <w:p w14:paraId="49489CD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 analysis:</w:t>
            </w:r>
          </w:p>
          <w:p w14:paraId="01B64A7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0.541</w:t>
            </w:r>
          </w:p>
          <w:p w14:paraId="49526C1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0.278-0.894</w:t>
            </w:r>
          </w:p>
          <w:p w14:paraId="7A09EAE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0.0315</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984848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BDCA09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A094B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p w14:paraId="51AD988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PD-L2</w:t>
            </w:r>
          </w:p>
          <w:p w14:paraId="0BC0DDD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10B4B7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959C25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3EDED1BA"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D3443DB"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Wang et al., 2014</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91C03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Expression of CD163, interleukin-10 and interferon-gamma in oral squamous cell carcinoma: mutual relationships and prognostic implications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2B19370"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 with lymph node metastasis had significantly higher CD163 staining than did tissues without lymph node metastasis, although the histopathological grading and clinical stage did not differ between groups </w:t>
            </w:r>
          </w:p>
          <w:p w14:paraId="7171DFDD"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There was a correlation between IFN‐</w:t>
            </w:r>
            <w:r w:rsidRPr="00EA387B">
              <w:rPr>
                <w:rFonts w:ascii="Calibri" w:eastAsia="Times New Roman" w:hAnsi="Calibri" w:cs="Calibri"/>
                <w:i/>
                <w:iCs/>
                <w:sz w:val="14"/>
                <w:szCs w:val="14"/>
                <w:lang w:eastAsia="en-GB"/>
              </w:rPr>
              <w:t>γ</w:t>
            </w:r>
            <w:r w:rsidRPr="00EA387B">
              <w:rPr>
                <w:rFonts w:ascii="Calibri" w:eastAsia="Times New Roman" w:hAnsi="Calibri" w:cs="Calibri"/>
                <w:sz w:val="14"/>
                <w:szCs w:val="14"/>
                <w:lang w:eastAsia="en-GB"/>
              </w:rPr>
              <w:t> and IL‐10 in patients with non‐lymph node metastasis (</w:t>
            </w:r>
            <w:r w:rsidRPr="00EA387B">
              <w:rPr>
                <w:rFonts w:ascii="Calibri" w:eastAsia="Times New Roman" w:hAnsi="Calibri" w:cs="Calibri"/>
                <w:i/>
                <w:iCs/>
                <w:sz w:val="14"/>
                <w:szCs w:val="14"/>
                <w:lang w:eastAsia="en-GB"/>
              </w:rPr>
              <w:t>P </w:t>
            </w:r>
            <w:r w:rsidRPr="00EA387B">
              <w:rPr>
                <w:rFonts w:ascii="Calibri" w:eastAsia="Times New Roman" w:hAnsi="Calibri" w:cs="Calibri"/>
                <w:sz w:val="14"/>
                <w:szCs w:val="14"/>
                <w:lang w:eastAsia="en-GB"/>
              </w:rPr>
              <w:t>=</w:t>
            </w:r>
            <w:r w:rsidRPr="00EA387B">
              <w:rPr>
                <w:rFonts w:ascii="Calibri" w:eastAsia="Times New Roman" w:hAnsi="Calibri" w:cs="Calibri"/>
                <w:i/>
                <w:iCs/>
                <w:sz w:val="14"/>
                <w:szCs w:val="14"/>
                <w:lang w:eastAsia="en-GB"/>
              </w:rPr>
              <w:t> </w:t>
            </w:r>
            <w:r w:rsidRPr="00EA387B">
              <w:rPr>
                <w:rFonts w:ascii="Calibri" w:eastAsia="Times New Roman" w:hAnsi="Calibri" w:cs="Calibri"/>
                <w:sz w:val="14"/>
                <w:szCs w:val="14"/>
                <w:lang w:eastAsia="en-GB"/>
              </w:rPr>
              <w:t>0.000, </w:t>
            </w:r>
            <w:r w:rsidRPr="00EA387B">
              <w:rPr>
                <w:rFonts w:ascii="Calibri" w:eastAsia="Times New Roman" w:hAnsi="Calibri" w:cs="Calibri"/>
                <w:i/>
                <w:iCs/>
                <w:sz w:val="14"/>
                <w:szCs w:val="14"/>
                <w:lang w:eastAsia="en-GB"/>
              </w:rPr>
              <w:t>γ </w:t>
            </w:r>
            <w:r w:rsidRPr="00EA387B">
              <w:rPr>
                <w:rFonts w:ascii="Calibri" w:eastAsia="Times New Roman" w:hAnsi="Calibri" w:cs="Calibri"/>
                <w:sz w:val="14"/>
                <w:szCs w:val="14"/>
                <w:lang w:eastAsia="en-GB"/>
              </w:rPr>
              <w:t xml:space="preserve">= 0.873), </w:t>
            </w:r>
            <w:r w:rsidRPr="00EA387B">
              <w:rPr>
                <w:rFonts w:ascii="Calibri" w:eastAsia="Times New Roman" w:hAnsi="Calibri" w:cs="Calibri"/>
                <w:sz w:val="14"/>
                <w:szCs w:val="14"/>
                <w:lang w:eastAsia="en-GB"/>
              </w:rPr>
              <w:lastRenderedPageBreak/>
              <w:t>and there was no correlation between IFN‐</w:t>
            </w:r>
            <w:r w:rsidRPr="00EA387B">
              <w:rPr>
                <w:rFonts w:ascii="Calibri" w:eastAsia="Times New Roman" w:hAnsi="Calibri" w:cs="Calibri"/>
                <w:i/>
                <w:iCs/>
                <w:sz w:val="14"/>
                <w:szCs w:val="14"/>
                <w:lang w:eastAsia="en-GB"/>
              </w:rPr>
              <w:t>γ</w:t>
            </w:r>
            <w:r w:rsidRPr="00EA387B">
              <w:rPr>
                <w:rFonts w:ascii="Calibri" w:eastAsia="Times New Roman" w:hAnsi="Calibri" w:cs="Calibri"/>
                <w:sz w:val="14"/>
                <w:szCs w:val="14"/>
                <w:lang w:eastAsia="en-GB"/>
              </w:rPr>
              <w:t> and IL‐10 in patients with lymph node metastasis (</w:t>
            </w:r>
            <w:r w:rsidRPr="00EA387B">
              <w:rPr>
                <w:rFonts w:ascii="Calibri" w:eastAsia="Times New Roman" w:hAnsi="Calibri" w:cs="Calibri"/>
                <w:i/>
                <w:iCs/>
                <w:sz w:val="14"/>
                <w:szCs w:val="14"/>
                <w:lang w:eastAsia="en-GB"/>
              </w:rPr>
              <w:t>P </w:t>
            </w:r>
            <w:r w:rsidRPr="00EA387B">
              <w:rPr>
                <w:rFonts w:ascii="Calibri" w:eastAsia="Times New Roman" w:hAnsi="Calibri" w:cs="Calibri"/>
                <w:sz w:val="14"/>
                <w:szCs w:val="14"/>
                <w:lang w:eastAsia="en-GB"/>
              </w:rPr>
              <w:t>=</w:t>
            </w:r>
            <w:r w:rsidRPr="00EA387B">
              <w:rPr>
                <w:rFonts w:ascii="Calibri" w:eastAsia="Times New Roman" w:hAnsi="Calibri" w:cs="Calibri"/>
                <w:i/>
                <w:iCs/>
                <w:sz w:val="14"/>
                <w:szCs w:val="14"/>
                <w:lang w:eastAsia="en-GB"/>
              </w:rPr>
              <w:t> </w:t>
            </w:r>
            <w:r w:rsidRPr="00EA387B">
              <w:rPr>
                <w:rFonts w:ascii="Calibri" w:eastAsia="Times New Roman" w:hAnsi="Calibri" w:cs="Calibri"/>
                <w:sz w:val="14"/>
                <w:szCs w:val="14"/>
                <w:lang w:eastAsia="en-GB"/>
              </w:rPr>
              <w:t>0.110, </w:t>
            </w:r>
            <w:r w:rsidRPr="00EA387B">
              <w:rPr>
                <w:rFonts w:ascii="Calibri" w:eastAsia="Times New Roman" w:hAnsi="Calibri" w:cs="Calibri"/>
                <w:i/>
                <w:iCs/>
                <w:sz w:val="14"/>
                <w:szCs w:val="14"/>
                <w:lang w:eastAsia="en-GB"/>
              </w:rPr>
              <w:t>γ </w:t>
            </w:r>
            <w:r w:rsidRPr="00EA387B">
              <w:rPr>
                <w:rFonts w:ascii="Calibri" w:eastAsia="Times New Roman" w:hAnsi="Calibri" w:cs="Calibri"/>
                <w:sz w:val="14"/>
                <w:szCs w:val="14"/>
                <w:lang w:eastAsia="en-GB"/>
              </w:rPr>
              <w:t xml:space="preserve">= 0.426). </w:t>
            </w:r>
          </w:p>
          <w:p w14:paraId="38A619A0" w14:textId="77777777" w:rsidR="00980A96" w:rsidRPr="00EA387B" w:rsidRDefault="00980A96" w:rsidP="00C7055C">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There was a correlation between IL‐10 and CD163 (</w:t>
            </w:r>
            <w:r w:rsidRPr="00EA387B">
              <w:rPr>
                <w:rFonts w:ascii="Calibri" w:eastAsia="Times New Roman" w:hAnsi="Calibri" w:cs="Calibri"/>
                <w:i/>
                <w:iCs/>
                <w:sz w:val="14"/>
                <w:szCs w:val="14"/>
                <w:lang w:eastAsia="en-GB"/>
              </w:rPr>
              <w:t>P </w:t>
            </w:r>
            <w:r w:rsidRPr="00EA387B">
              <w:rPr>
                <w:rFonts w:ascii="Calibri" w:eastAsia="Times New Roman" w:hAnsi="Calibri" w:cs="Calibri"/>
                <w:sz w:val="14"/>
                <w:szCs w:val="14"/>
                <w:lang w:eastAsia="en-GB"/>
              </w:rPr>
              <w:t>=</w:t>
            </w:r>
            <w:r w:rsidRPr="00EA387B">
              <w:rPr>
                <w:rFonts w:ascii="Calibri" w:eastAsia="Times New Roman" w:hAnsi="Calibri" w:cs="Calibri"/>
                <w:i/>
                <w:iCs/>
                <w:sz w:val="14"/>
                <w:szCs w:val="14"/>
                <w:lang w:eastAsia="en-GB"/>
              </w:rPr>
              <w:t> </w:t>
            </w:r>
            <w:r w:rsidRPr="00EA387B">
              <w:rPr>
                <w:rFonts w:ascii="Calibri" w:eastAsia="Times New Roman" w:hAnsi="Calibri" w:cs="Calibri"/>
                <w:sz w:val="14"/>
                <w:szCs w:val="14"/>
                <w:lang w:eastAsia="en-GB"/>
              </w:rPr>
              <w:t>0.015, </w:t>
            </w:r>
            <w:r w:rsidRPr="00EA387B">
              <w:rPr>
                <w:rFonts w:ascii="Calibri" w:eastAsia="Times New Roman" w:hAnsi="Calibri" w:cs="Calibri"/>
                <w:i/>
                <w:iCs/>
                <w:sz w:val="14"/>
                <w:szCs w:val="14"/>
                <w:lang w:eastAsia="en-GB"/>
              </w:rPr>
              <w:t>γ </w:t>
            </w:r>
            <w:r w:rsidRPr="00EA387B">
              <w:rPr>
                <w:rFonts w:ascii="Calibri" w:eastAsia="Times New Roman" w:hAnsi="Calibri" w:cs="Calibri"/>
                <w:sz w:val="14"/>
                <w:szCs w:val="14"/>
                <w:lang w:eastAsia="en-GB"/>
              </w:rPr>
              <w:t>= 0.7333).</w:t>
            </w:r>
          </w:p>
          <w:p w14:paraId="5731CEBD" w14:textId="77777777" w:rsidR="00980A96" w:rsidRPr="00EA387B" w:rsidRDefault="00980A96" w:rsidP="00C7055C">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Using the median value as a cut‐off, patients were classified into four groups: I, low IFN‐</w:t>
            </w:r>
            <w:r w:rsidRPr="00EA387B">
              <w:rPr>
                <w:rFonts w:ascii="Calibri" w:eastAsia="Times New Roman" w:hAnsi="Calibri" w:cs="Calibri"/>
                <w:i/>
                <w:iCs/>
                <w:sz w:val="14"/>
                <w:szCs w:val="14"/>
                <w:lang w:eastAsia="en-GB"/>
              </w:rPr>
              <w:t>γ</w:t>
            </w:r>
            <w:r w:rsidRPr="00EA387B">
              <w:rPr>
                <w:rFonts w:ascii="Calibri" w:eastAsia="Times New Roman" w:hAnsi="Calibri" w:cs="Calibri"/>
                <w:sz w:val="14"/>
                <w:szCs w:val="14"/>
                <w:lang w:eastAsia="en-GB"/>
              </w:rPr>
              <w:t>, high IL‐10, and low CD163 (</w:t>
            </w:r>
            <w:r w:rsidRPr="00EA387B">
              <w:rPr>
                <w:rFonts w:ascii="Calibri" w:eastAsia="Times New Roman" w:hAnsi="Calibri" w:cs="Calibri"/>
                <w:i/>
                <w:iCs/>
                <w:sz w:val="14"/>
                <w:szCs w:val="14"/>
                <w:lang w:eastAsia="en-GB"/>
              </w:rPr>
              <w:t>n</w:t>
            </w:r>
            <w:r w:rsidRPr="00EA387B">
              <w:rPr>
                <w:rFonts w:ascii="Calibri" w:eastAsia="Times New Roman" w:hAnsi="Calibri" w:cs="Calibri"/>
                <w:sz w:val="14"/>
                <w:szCs w:val="14"/>
                <w:lang w:eastAsia="en-GB"/>
              </w:rPr>
              <w:t> = 25); II, low IFN‐</w:t>
            </w:r>
            <w:r w:rsidRPr="00EA387B">
              <w:rPr>
                <w:rFonts w:ascii="Calibri" w:eastAsia="Times New Roman" w:hAnsi="Calibri" w:cs="Calibri"/>
                <w:i/>
                <w:iCs/>
                <w:sz w:val="14"/>
                <w:szCs w:val="14"/>
                <w:lang w:eastAsia="en-GB"/>
              </w:rPr>
              <w:t>γ</w:t>
            </w:r>
            <w:r w:rsidRPr="00EA387B">
              <w:rPr>
                <w:rFonts w:ascii="Calibri" w:eastAsia="Times New Roman" w:hAnsi="Calibri" w:cs="Calibri"/>
                <w:sz w:val="14"/>
                <w:szCs w:val="14"/>
                <w:lang w:eastAsia="en-GB"/>
              </w:rPr>
              <w:t>, low IL‐10, and low CD163 (</w:t>
            </w:r>
            <w:r w:rsidRPr="00EA387B">
              <w:rPr>
                <w:rFonts w:ascii="Calibri" w:eastAsia="Times New Roman" w:hAnsi="Calibri" w:cs="Calibri"/>
                <w:i/>
                <w:iCs/>
                <w:sz w:val="14"/>
                <w:szCs w:val="14"/>
                <w:lang w:eastAsia="en-GB"/>
              </w:rPr>
              <w:t>n</w:t>
            </w:r>
            <w:r w:rsidRPr="00EA387B">
              <w:rPr>
                <w:rFonts w:ascii="Calibri" w:eastAsia="Times New Roman" w:hAnsi="Calibri" w:cs="Calibri"/>
                <w:sz w:val="14"/>
                <w:szCs w:val="14"/>
                <w:lang w:eastAsia="en-GB"/>
              </w:rPr>
              <w:t> = 20); III, high IFN‐</w:t>
            </w:r>
            <w:r w:rsidRPr="00EA387B">
              <w:rPr>
                <w:rFonts w:ascii="Calibri" w:eastAsia="Times New Roman" w:hAnsi="Calibri" w:cs="Calibri"/>
                <w:i/>
                <w:iCs/>
                <w:sz w:val="14"/>
                <w:szCs w:val="14"/>
                <w:lang w:eastAsia="en-GB"/>
              </w:rPr>
              <w:t>γ</w:t>
            </w:r>
            <w:r w:rsidRPr="00EA387B">
              <w:rPr>
                <w:rFonts w:ascii="Calibri" w:eastAsia="Times New Roman" w:hAnsi="Calibri" w:cs="Calibri"/>
                <w:sz w:val="14"/>
                <w:szCs w:val="14"/>
                <w:lang w:eastAsia="en-GB"/>
              </w:rPr>
              <w:t>, low IL‐10, and low CD163 (</w:t>
            </w:r>
            <w:r w:rsidRPr="00EA387B">
              <w:rPr>
                <w:rFonts w:ascii="Calibri" w:eastAsia="Times New Roman" w:hAnsi="Calibri" w:cs="Calibri"/>
                <w:i/>
                <w:iCs/>
                <w:sz w:val="14"/>
                <w:szCs w:val="14"/>
                <w:lang w:eastAsia="en-GB"/>
              </w:rPr>
              <w:t>n</w:t>
            </w:r>
            <w:r w:rsidRPr="00EA387B">
              <w:rPr>
                <w:rFonts w:ascii="Calibri" w:eastAsia="Times New Roman" w:hAnsi="Calibri" w:cs="Calibri"/>
                <w:sz w:val="14"/>
                <w:szCs w:val="14"/>
                <w:lang w:eastAsia="en-GB"/>
              </w:rPr>
              <w:t> = 6); and IV, high IFN‐</w:t>
            </w:r>
            <w:r w:rsidRPr="00EA387B">
              <w:rPr>
                <w:rFonts w:ascii="Calibri" w:eastAsia="Times New Roman" w:hAnsi="Calibri" w:cs="Calibri"/>
                <w:i/>
                <w:iCs/>
                <w:sz w:val="14"/>
                <w:szCs w:val="14"/>
                <w:lang w:eastAsia="en-GB"/>
              </w:rPr>
              <w:t>γ</w:t>
            </w:r>
            <w:r w:rsidRPr="00EA387B">
              <w:rPr>
                <w:rFonts w:ascii="Calibri" w:eastAsia="Times New Roman" w:hAnsi="Calibri" w:cs="Calibri"/>
                <w:sz w:val="14"/>
                <w:szCs w:val="14"/>
                <w:lang w:eastAsia="en-GB"/>
              </w:rPr>
              <w:t>, high IL‐10, and low CD163 (</w:t>
            </w:r>
            <w:r w:rsidRPr="00EA387B">
              <w:rPr>
                <w:rFonts w:ascii="Calibri" w:eastAsia="Times New Roman" w:hAnsi="Calibri" w:cs="Calibri"/>
                <w:i/>
                <w:iCs/>
                <w:sz w:val="14"/>
                <w:szCs w:val="14"/>
                <w:lang w:eastAsia="en-GB"/>
              </w:rPr>
              <w:t>n</w:t>
            </w:r>
            <w:r w:rsidRPr="00EA387B">
              <w:rPr>
                <w:rFonts w:ascii="Calibri" w:eastAsia="Times New Roman" w:hAnsi="Calibri" w:cs="Calibri"/>
                <w:sz w:val="14"/>
                <w:szCs w:val="14"/>
                <w:lang w:eastAsia="en-GB"/>
              </w:rPr>
              <w:t> = 45). Overall survival significantly differed between these groups</w:t>
            </w:r>
          </w:p>
          <w:p w14:paraId="2CD50AA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xml:space="preserve"> </w:t>
            </w:r>
          </w:p>
          <w:p w14:paraId="04070C1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D67197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Normal Oral Mucosa:</w:t>
            </w:r>
          </w:p>
          <w:p w14:paraId="17486E3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IFNY = 299 ioD (integral optical density)</w:t>
            </w:r>
          </w:p>
          <w:p w14:paraId="50B88C6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IL-10 = 150 ioD</w:t>
            </w:r>
          </w:p>
          <w:p w14:paraId="52EFC24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 10 ioD</w:t>
            </w:r>
          </w:p>
          <w:p w14:paraId="52FE179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Simple Hyperplasia:</w:t>
            </w:r>
          </w:p>
          <w:p w14:paraId="78DB828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IFNY = 340 ioD</w:t>
            </w:r>
          </w:p>
          <w:p w14:paraId="182B2EE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IL-10 = 290 ioD</w:t>
            </w:r>
          </w:p>
          <w:p w14:paraId="4BB29CF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 30 ioD</w:t>
            </w:r>
          </w:p>
          <w:p w14:paraId="1E3DB70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Dysplasia:</w:t>
            </w:r>
          </w:p>
          <w:p w14:paraId="40A28F6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IFNY = 390 ioD</w:t>
            </w:r>
          </w:p>
          <w:p w14:paraId="376568A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IL-10 = 400 ioD</w:t>
            </w:r>
          </w:p>
          <w:p w14:paraId="486C5B2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 50 ioD</w:t>
            </w:r>
          </w:p>
          <w:p w14:paraId="7FF2DA5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Carcinoma in situ:</w:t>
            </w:r>
          </w:p>
          <w:p w14:paraId="22AFF5C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IFNY = 390 ioD</w:t>
            </w:r>
          </w:p>
          <w:p w14:paraId="5374C4F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IL-10 = 410 ioD</w:t>
            </w:r>
          </w:p>
          <w:p w14:paraId="41B4D9E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CD163 = 100 ioD</w:t>
            </w:r>
          </w:p>
          <w:p w14:paraId="52181FC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Non-metastatic oral squamous cell carcinoma:</w:t>
            </w:r>
          </w:p>
          <w:p w14:paraId="0288CDB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IFNY = 390 ioD</w:t>
            </w:r>
          </w:p>
          <w:p w14:paraId="5549DCC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IL-10 = 410 ioD</w:t>
            </w:r>
          </w:p>
          <w:p w14:paraId="0DA851B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 200 ioD</w:t>
            </w:r>
          </w:p>
          <w:p w14:paraId="0D5458B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Metastatic OSCC:</w:t>
            </w:r>
          </w:p>
          <w:p w14:paraId="77DB250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IFNY = 310 ioD</w:t>
            </w:r>
          </w:p>
          <w:p w14:paraId="2D28C6F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IL-10 = 420 ioD</w:t>
            </w:r>
          </w:p>
          <w:p w14:paraId="10653BB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 400 ioD</w:t>
            </w:r>
          </w:p>
          <w:p w14:paraId="16B06A0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Lymph node metastasis:</w:t>
            </w:r>
          </w:p>
          <w:p w14:paraId="08DFFE7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p w14:paraId="1430C02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Yes: 54/100</w:t>
            </w:r>
          </w:p>
          <w:p w14:paraId="2D47FA6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 42/44</w:t>
            </w:r>
          </w:p>
          <w:p w14:paraId="3D5ED6C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- 0.037</w:t>
            </w:r>
          </w:p>
          <w:p w14:paraId="7A6360F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w:t>
            </w:r>
          </w:p>
          <w:p w14:paraId="518B020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p w14:paraId="5CD97F6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Yes: 15/66 </w:t>
            </w:r>
          </w:p>
          <w:p w14:paraId="1EF9DA2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No: 81/78 </w:t>
            </w:r>
          </w:p>
          <w:p w14:paraId="7233D3E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0.000</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956144C"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We found that high levels of CD163, or a combination of low IFN‐</w:t>
            </w:r>
            <w:r w:rsidRPr="00EA387B">
              <w:rPr>
                <w:rFonts w:ascii="Calibri" w:eastAsia="Times New Roman" w:hAnsi="Calibri" w:cs="Calibri"/>
                <w:i/>
                <w:iCs/>
                <w:sz w:val="14"/>
                <w:szCs w:val="14"/>
                <w:lang w:eastAsia="en-GB"/>
              </w:rPr>
              <w:t>γ</w:t>
            </w:r>
            <w:r w:rsidRPr="00EA387B">
              <w:rPr>
                <w:rFonts w:ascii="Calibri" w:eastAsia="Times New Roman" w:hAnsi="Calibri" w:cs="Calibri"/>
                <w:sz w:val="14"/>
                <w:szCs w:val="14"/>
                <w:lang w:eastAsia="en-GB"/>
              </w:rPr>
              <w:t xml:space="preserve"> levels, high IL‐10 levels, and low CD163 levels, were associated with poorer overall survival (OS). </w:t>
            </w:r>
          </w:p>
          <w:p w14:paraId="0655825A"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CD163+ cells provide better predictive </w:t>
            </w:r>
            <w:r w:rsidRPr="00EA387B">
              <w:rPr>
                <w:rFonts w:ascii="Calibri" w:eastAsia="Times New Roman" w:hAnsi="Calibri" w:cs="Calibri"/>
                <w:sz w:val="14"/>
                <w:szCs w:val="14"/>
                <w:lang w:eastAsia="en-GB"/>
              </w:rPr>
              <w:lastRenderedPageBreak/>
              <w:t xml:space="preserve">power for OS in comparison with traditional markers, such as clinical stage and lymph node metastasis. </w:t>
            </w:r>
          </w:p>
          <w:p w14:paraId="197668E6" w14:textId="36DE2A6C" w:rsidR="00980A96" w:rsidRPr="00EA387B" w:rsidRDefault="00314CCD" w:rsidP="00314CCD">
            <w:pPr>
              <w:spacing w:after="0" w:line="240" w:lineRule="auto"/>
              <w:rPr>
                <w:rFonts w:ascii="Calibri" w:eastAsia="Times New Roman" w:hAnsi="Calibri" w:cs="Calibri"/>
                <w:sz w:val="14"/>
                <w:szCs w:val="14"/>
                <w:lang w:eastAsia="en-GB"/>
              </w:rPr>
            </w:pPr>
            <w:r w:rsidRPr="006D2E7F">
              <w:rPr>
                <w:rFonts w:ascii="Calibri" w:eastAsia="Times New Roman" w:hAnsi="Calibri" w:cs="Calibri"/>
                <w:sz w:val="14"/>
                <w:szCs w:val="14"/>
                <w:lang w:eastAsia="en-GB"/>
              </w:rPr>
              <w:t>T</w:t>
            </w:r>
            <w:r w:rsidR="00980A96" w:rsidRPr="00EA387B">
              <w:rPr>
                <w:rFonts w:ascii="Calibri" w:eastAsia="Times New Roman" w:hAnsi="Calibri" w:cs="Calibri"/>
                <w:sz w:val="14"/>
                <w:szCs w:val="14"/>
                <w:lang w:eastAsia="en-GB"/>
              </w:rPr>
              <w:t>herefore, CD163+ cells may be effective prognostic predictors of OSCC. IL‐10 may also indicate poor outcomes when IFN‐</w:t>
            </w:r>
            <w:r w:rsidR="00980A96" w:rsidRPr="00EA387B">
              <w:rPr>
                <w:rFonts w:ascii="Calibri" w:eastAsia="Times New Roman" w:hAnsi="Calibri" w:cs="Calibri"/>
                <w:i/>
                <w:iCs/>
                <w:sz w:val="14"/>
                <w:szCs w:val="14"/>
                <w:lang w:eastAsia="en-GB"/>
              </w:rPr>
              <w:t>γ</w:t>
            </w:r>
            <w:r w:rsidR="00980A96" w:rsidRPr="00EA387B">
              <w:rPr>
                <w:rFonts w:ascii="Calibri" w:eastAsia="Times New Roman" w:hAnsi="Calibri" w:cs="Calibri"/>
                <w:sz w:val="14"/>
                <w:szCs w:val="14"/>
                <w:lang w:eastAsia="en-GB"/>
              </w:rPr>
              <w:t> secretion is low and the cells are CD163</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EA30DD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2014</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0575D4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China</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2A25B0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240</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98A635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D122CB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D4A4B1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21-78</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62F665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3758E8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Lymph Node metastasis</w:t>
            </w:r>
          </w:p>
          <w:p w14:paraId="7FEA1E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Clinical stage: I-IV</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3AC49DB"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Mucosa</w:t>
            </w:r>
          </w:p>
          <w:p w14:paraId="139A36FF"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stroma</w:t>
            </w:r>
          </w:p>
          <w:p w14:paraId="1E3C7F59"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Cytoplasm of tumour cells</w:t>
            </w:r>
          </w:p>
          <w:p w14:paraId="11EE4157"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dysplasia</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4D6F6F" w14:textId="77777777" w:rsidR="00980A96" w:rsidRPr="00EA387B" w:rsidRDefault="00980A96" w:rsidP="00314CCD">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(Low vs High):</w:t>
            </w:r>
          </w:p>
          <w:p w14:paraId="41B8E47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UNVARIATE ANALYSIS:</w:t>
            </w:r>
          </w:p>
          <w:p w14:paraId="6D20AB4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HR = 4.41 </w:t>
            </w:r>
          </w:p>
          <w:p w14:paraId="19578FA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2.578-7.547</w:t>
            </w:r>
          </w:p>
          <w:p w14:paraId="4F2F7B0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0.00</w:t>
            </w:r>
          </w:p>
          <w:p w14:paraId="6B9052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 ANALYSIS:</w:t>
            </w:r>
          </w:p>
          <w:p w14:paraId="1AC27B7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3.561 95% Cl = 1.733-7.320</w:t>
            </w:r>
          </w:p>
          <w:p w14:paraId="3207729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0.001</w:t>
            </w:r>
          </w:p>
          <w:p w14:paraId="62C446C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EDC090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A53F98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297DC8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6F2E01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E8C623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IFNY</w:t>
            </w:r>
          </w:p>
          <w:p w14:paraId="6AA008B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IL-10</w:t>
            </w:r>
          </w:p>
          <w:p w14:paraId="187ADB0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C30614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7107ED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SCOPUS</w:t>
            </w:r>
          </w:p>
        </w:tc>
      </w:tr>
      <w:tr w:rsidR="008F510C" w:rsidRPr="00980A96" w14:paraId="24669C44"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5209B53"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Ahn et al., 2017</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EF36EF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Clinicopathologic implications of the miR-197/PD-L1 axis in oral squamous cell carcinoma </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BF4827F" w14:textId="77777777" w:rsidR="00980A96" w:rsidRPr="00EA387B" w:rsidRDefault="00980A96" w:rsidP="00C7055C">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levels correlated inversely with miR-197 but correlated positively with TILs. The aggressive features of OSCC, including high stage, angiolymphatic invasion, perineural invasion, and death, were associated with TIL depletion.</w:t>
            </w:r>
          </w:p>
          <w:p w14:paraId="1E3F25A5" w14:textId="77777777" w:rsidR="00980A96" w:rsidRPr="00EA387B" w:rsidRDefault="00980A96" w:rsidP="00C7055C">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 High T stage (T4) tumours also had low PD-L1 but had high miR-197 expression. </w:t>
            </w:r>
          </w:p>
          <w:p w14:paraId="7793E6CE" w14:textId="77777777" w:rsidR="00980A96" w:rsidRPr="00EA387B" w:rsidRDefault="00980A96" w:rsidP="00C7055C">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In a univariate survival analysis of the full cohort, high miR-197 was associated with poor overall survival, whereas high PD-L1 expression (2+) associated with good overall survival.</w:t>
            </w:r>
          </w:p>
          <w:p w14:paraId="000A7210" w14:textId="03DE89E8" w:rsidR="00980A96" w:rsidRPr="00EA387B" w:rsidRDefault="00980A96" w:rsidP="00C7055C">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In a</w:t>
            </w:r>
            <w:r w:rsidR="00C7055C" w:rsidRPr="006D2E7F">
              <w:rPr>
                <w:rFonts w:ascii="Calibri" w:eastAsia="Times New Roman" w:hAnsi="Calibri" w:cs="Calibri"/>
                <w:sz w:val="14"/>
                <w:szCs w:val="14"/>
                <w:lang w:eastAsia="en-GB"/>
              </w:rPr>
              <w:t xml:space="preserve"> </w:t>
            </w:r>
            <w:r w:rsidRPr="00EA387B">
              <w:rPr>
                <w:rFonts w:ascii="Calibri" w:eastAsia="Times New Roman" w:hAnsi="Calibri" w:cs="Calibri"/>
                <w:sz w:val="14"/>
                <w:szCs w:val="14"/>
                <w:lang w:eastAsia="en-GB"/>
              </w:rPr>
              <w:t>multivariate analysis stratified based on miR-</w:t>
            </w:r>
            <w:r w:rsidRPr="00EA387B">
              <w:rPr>
                <w:rFonts w:ascii="Calibri" w:eastAsia="Times New Roman" w:hAnsi="Calibri" w:cs="Calibri"/>
                <w:sz w:val="14"/>
                <w:szCs w:val="14"/>
                <w:lang w:eastAsia="en-GB"/>
              </w:rPr>
              <w:lastRenderedPageBreak/>
              <w:t>197 (median), high PD-L1 expression (2+) was an independent favourable prognostic factor for overall survival (</w:t>
            </w:r>
            <w:r w:rsidRPr="00EA387B">
              <w:rPr>
                <w:rFonts w:ascii="Calibri" w:eastAsia="Times New Roman" w:hAnsi="Calibri" w:cs="Calibri"/>
                <w:i/>
                <w:iCs/>
                <w:sz w:val="14"/>
                <w:szCs w:val="14"/>
                <w:lang w:eastAsia="en-GB"/>
              </w:rPr>
              <w:t>P</w:t>
            </w:r>
            <w:r w:rsidRPr="00EA387B">
              <w:rPr>
                <w:rFonts w:ascii="Calibri" w:eastAsia="Times New Roman" w:hAnsi="Calibri" w:cs="Calibri"/>
                <w:sz w:val="14"/>
                <w:szCs w:val="14"/>
                <w:lang w:eastAsia="en-GB"/>
              </w:rPr>
              <w:t> = 0.040) in the miR-197high subgroup but not the miR-197low subgroup.</w:t>
            </w:r>
          </w:p>
          <w:p w14:paraId="2BC681C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96E022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Alive = 45 patients</w:t>
            </w:r>
          </w:p>
          <w:p w14:paraId="0C550BC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23 patients</w:t>
            </w:r>
          </w:p>
          <w:p w14:paraId="35B2808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CD3+:</w:t>
            </w:r>
          </w:p>
          <w:p w14:paraId="1BF998B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Alive = 47.3±40.7</w:t>
            </w:r>
          </w:p>
          <w:p w14:paraId="51640D2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33.4±27.1</w:t>
            </w:r>
          </w:p>
          <w:p w14:paraId="065A64B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CD4+:</w:t>
            </w:r>
          </w:p>
          <w:p w14:paraId="54D7AE5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Alive = 37.4±29.2</w:t>
            </w:r>
          </w:p>
          <w:p w14:paraId="7148B10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23.1±17.9</w:t>
            </w:r>
          </w:p>
          <w:p w14:paraId="0CBC167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CD8+:</w:t>
            </w:r>
          </w:p>
          <w:p w14:paraId="26B67A4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Alive = 30.4±21.7</w:t>
            </w:r>
          </w:p>
          <w:p w14:paraId="417D74E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21.9±22.6</w:t>
            </w:r>
          </w:p>
          <w:p w14:paraId="04FA482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PD-1:</w:t>
            </w:r>
          </w:p>
          <w:p w14:paraId="10AE437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Alive = 6.3±5.4</w:t>
            </w:r>
          </w:p>
          <w:p w14:paraId="085F743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7.8±9.2</w:t>
            </w:r>
          </w:p>
          <w:p w14:paraId="50FA341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FoxP3:</w:t>
            </w:r>
          </w:p>
          <w:p w14:paraId="29ADA64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Alive = 10.1±9.4</w:t>
            </w:r>
          </w:p>
          <w:p w14:paraId="05D0F40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8.0±9.6</w:t>
            </w:r>
          </w:p>
          <w:p w14:paraId="3C2E31D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CD20+:</w:t>
            </w:r>
          </w:p>
          <w:p w14:paraId="5339FC2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Alive = 24.6±25.7</w:t>
            </w:r>
          </w:p>
          <w:p w14:paraId="728AA30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16.3±16.70</w:t>
            </w:r>
          </w:p>
          <w:p w14:paraId="4B9E2FD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miR-197:</w:t>
            </w:r>
          </w:p>
          <w:p w14:paraId="0E9E50B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Alive = 5.1±8.2</w:t>
            </w:r>
          </w:p>
          <w:p w14:paraId="6A8ADE0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Death = 19.1±41.6</w:t>
            </w:r>
          </w:p>
          <w:p w14:paraId="6C75C90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7DADFAB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 </w:t>
            </w:r>
          </w:p>
          <w:p w14:paraId="167925C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40AA827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685C7DF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F58C83E" w14:textId="77777777" w:rsidR="00980A96" w:rsidRPr="00EA387B" w:rsidRDefault="00980A96" w:rsidP="00C7055C">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This study showed inverse correlation and prognostic effects between miR-197 and PD-L1 expression in OSCC. In addition, we observed that PD-L1 expression on IHC is associated with increased TILs and favourable prognosis in miR-197high subgroup.</w:t>
            </w:r>
          </w:p>
          <w:p w14:paraId="4C06BAC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39375BD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lastRenderedPageBreak/>
              <w:t> </w:t>
            </w:r>
          </w:p>
          <w:p w14:paraId="1BCB769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79141C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2017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A94DDE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South Korea</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C12081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68</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ACD290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45</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BABE71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23</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CCDD07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23-84</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EC4823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Oral squamous cell carcinoma </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3C5196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stage: T1-T4</w:t>
            </w:r>
          </w:p>
          <w:p w14:paraId="7B6D5E6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Nodal Stage: N0-N2c</w:t>
            </w:r>
          </w:p>
          <w:p w14:paraId="2DCCC17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Tumour-nodal metastasis stage: I-IV</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32780F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Normal OSCC tissue </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D8AA80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 analysis:</w:t>
            </w:r>
          </w:p>
          <w:p w14:paraId="0B5C951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 Cell number (high):</w:t>
            </w:r>
          </w:p>
          <w:p w14:paraId="79CF916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1.01</w:t>
            </w:r>
          </w:p>
          <w:p w14:paraId="2B0B04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0.95-1.06</w:t>
            </w:r>
          </w:p>
          <w:p w14:paraId="60AB01E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P =</w:t>
            </w:r>
            <w:r w:rsidRPr="00EA387B">
              <w:rPr>
                <w:rFonts w:ascii="Calibri" w:eastAsia="Times New Roman" w:hAnsi="Calibri" w:cs="Calibri"/>
                <w:sz w:val="14"/>
                <w:szCs w:val="14"/>
                <w:lang w:eastAsia="en-GB"/>
              </w:rPr>
              <w:t xml:space="preserve"> 0.826</w:t>
            </w:r>
          </w:p>
          <w:p w14:paraId="1B746AB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miR-197 expression (high):</w:t>
            </w:r>
          </w:p>
          <w:p w14:paraId="5C2F7F2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HR = 1.01 </w:t>
            </w:r>
          </w:p>
          <w:p w14:paraId="252D87E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1.00-1.02</w:t>
            </w:r>
          </w:p>
          <w:p w14:paraId="5EC3A47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P =</w:t>
            </w:r>
            <w:r w:rsidRPr="00EA387B">
              <w:rPr>
                <w:rFonts w:ascii="Calibri" w:eastAsia="Times New Roman" w:hAnsi="Calibri" w:cs="Calibri"/>
                <w:sz w:val="14"/>
                <w:szCs w:val="14"/>
                <w:lang w:eastAsia="en-GB"/>
              </w:rPr>
              <w:t xml:space="preserve"> 0.033 </w:t>
            </w:r>
          </w:p>
          <w:p w14:paraId="1289A3F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 Cell Number (high):</w:t>
            </w:r>
          </w:p>
          <w:p w14:paraId="456393F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0.99</w:t>
            </w:r>
          </w:p>
          <w:p w14:paraId="183154A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0.97-1.01</w:t>
            </w:r>
          </w:p>
          <w:p w14:paraId="3788B12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0.181</w:t>
            </w:r>
          </w:p>
          <w:p w14:paraId="1200168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 xml:space="preserve">CD3+ Cell Number (high): </w:t>
            </w:r>
          </w:p>
          <w:p w14:paraId="286C32B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HR = 0.99 </w:t>
            </w:r>
          </w:p>
          <w:p w14:paraId="59E1BCB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0.98-1.00</w:t>
            </w:r>
          </w:p>
          <w:p w14:paraId="4411A17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P = 0.142</w:t>
            </w:r>
          </w:p>
          <w:p w14:paraId="736BCB5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Cell Number (high):</w:t>
            </w:r>
          </w:p>
          <w:p w14:paraId="0964872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0.98</w:t>
            </w:r>
          </w:p>
          <w:p w14:paraId="70A2703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0.96-1.00</w:t>
            </w:r>
          </w:p>
          <w:p w14:paraId="22B8920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0.082</w:t>
            </w:r>
          </w:p>
          <w:p w14:paraId="1DC7D81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CD20+ Cell Number (high):</w:t>
            </w:r>
          </w:p>
          <w:p w14:paraId="16B8A16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0.98</w:t>
            </w:r>
          </w:p>
          <w:p w14:paraId="441499C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0.96-1.00</w:t>
            </w:r>
          </w:p>
          <w:p w14:paraId="655B307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0.186</w:t>
            </w:r>
          </w:p>
          <w:p w14:paraId="765F3DA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FoxP3 Cell Number (High): </w:t>
            </w:r>
          </w:p>
          <w:p w14:paraId="3ECC927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0.98</w:t>
            </w:r>
          </w:p>
          <w:p w14:paraId="491AFF8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0.93-1.03</w:t>
            </w:r>
          </w:p>
          <w:p w14:paraId="2BCA796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0.374</w:t>
            </w:r>
          </w:p>
          <w:p w14:paraId="11A0FCB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Expression (High):</w:t>
            </w:r>
          </w:p>
          <w:p w14:paraId="680C32E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0.32</w:t>
            </w:r>
          </w:p>
          <w:p w14:paraId="37099EC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0.11-0.94</w:t>
            </w:r>
          </w:p>
          <w:p w14:paraId="071C665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0.039</w:t>
            </w:r>
          </w:p>
          <w:p w14:paraId="678E3C9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6B66C4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Univariate analysis:</w:t>
            </w:r>
          </w:p>
          <w:p w14:paraId="2F64C55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 Cell number (high):</w:t>
            </w:r>
          </w:p>
          <w:p w14:paraId="47F2B95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0.94</w:t>
            </w:r>
          </w:p>
          <w:p w14:paraId="45BD6E0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0.85-1.04</w:t>
            </w:r>
          </w:p>
          <w:p w14:paraId="0F324B6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P =</w:t>
            </w:r>
            <w:r w:rsidRPr="00EA387B">
              <w:rPr>
                <w:rFonts w:ascii="Calibri" w:eastAsia="Times New Roman" w:hAnsi="Calibri" w:cs="Calibri"/>
                <w:sz w:val="14"/>
                <w:szCs w:val="14"/>
                <w:lang w:eastAsia="en-GB"/>
              </w:rPr>
              <w:t xml:space="preserve"> 0.213</w:t>
            </w:r>
          </w:p>
          <w:p w14:paraId="1783478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miR-197 expression (high):</w:t>
            </w:r>
          </w:p>
          <w:p w14:paraId="225B8D6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1.01</w:t>
            </w:r>
          </w:p>
          <w:p w14:paraId="2D4BE12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95% Cl = 1.00-1.02</w:t>
            </w:r>
          </w:p>
          <w:p w14:paraId="5309C5B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P =</w:t>
            </w:r>
            <w:r w:rsidRPr="00EA387B">
              <w:rPr>
                <w:rFonts w:ascii="Calibri" w:eastAsia="Times New Roman" w:hAnsi="Calibri" w:cs="Calibri"/>
                <w:sz w:val="14"/>
                <w:szCs w:val="14"/>
                <w:lang w:eastAsia="en-GB"/>
              </w:rPr>
              <w:t xml:space="preserve"> 0.089</w:t>
            </w:r>
          </w:p>
          <w:p w14:paraId="38F23BC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 Cell Number (high):</w:t>
            </w:r>
          </w:p>
          <w:p w14:paraId="3FEBC2F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0.99</w:t>
            </w:r>
          </w:p>
          <w:p w14:paraId="52A2713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0.96-1.01</w:t>
            </w:r>
          </w:p>
          <w:p w14:paraId="3CDF1B4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0.282</w:t>
            </w:r>
          </w:p>
          <w:p w14:paraId="5625949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CD3+ Cell Number (high): </w:t>
            </w:r>
          </w:p>
          <w:p w14:paraId="7AC2F22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1.00</w:t>
            </w:r>
          </w:p>
          <w:p w14:paraId="23D06E9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0.98-1.01</w:t>
            </w:r>
          </w:p>
          <w:p w14:paraId="0E2FD8D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P = 0.552</w:t>
            </w:r>
          </w:p>
          <w:p w14:paraId="5C9EBA9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 Cell Number (high):</w:t>
            </w:r>
          </w:p>
          <w:p w14:paraId="506866A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0.98</w:t>
            </w:r>
          </w:p>
          <w:p w14:paraId="5036F8E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0.96-1.01</w:t>
            </w:r>
          </w:p>
          <w:p w14:paraId="67F850E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0.187</w:t>
            </w:r>
          </w:p>
          <w:p w14:paraId="3C4549B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CD20+ Cell Number (high):</w:t>
            </w:r>
          </w:p>
          <w:p w14:paraId="492B005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0.99</w:t>
            </w:r>
          </w:p>
          <w:p w14:paraId="11B8452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0.97-1.02</w:t>
            </w:r>
          </w:p>
          <w:p w14:paraId="65408F5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P = 0.496</w:t>
            </w:r>
          </w:p>
          <w:p w14:paraId="78C8486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FoxP3 Cell Number (High): </w:t>
            </w:r>
          </w:p>
          <w:p w14:paraId="368EC06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1.01</w:t>
            </w:r>
          </w:p>
          <w:p w14:paraId="1D773A2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0.96-1.06</w:t>
            </w:r>
          </w:p>
          <w:p w14:paraId="01FEE01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0.754</w:t>
            </w:r>
          </w:p>
          <w:p w14:paraId="29E841E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Expression (High):</w:t>
            </w:r>
          </w:p>
          <w:p w14:paraId="4E35097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0.25</w:t>
            </w:r>
          </w:p>
          <w:p w14:paraId="63B832A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0.06-1.12</w:t>
            </w:r>
          </w:p>
          <w:p w14:paraId="2C7D160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0.070</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5C1E13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9E9749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C2B740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A0E942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PD-1</w:t>
            </w:r>
          </w:p>
          <w:p w14:paraId="6C562F5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MiR-197</w:t>
            </w:r>
          </w:p>
          <w:p w14:paraId="4163565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CD8</w:t>
            </w:r>
          </w:p>
          <w:p w14:paraId="1AF49FA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CD3</w:t>
            </w:r>
          </w:p>
          <w:p w14:paraId="359C8A4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CD4</w:t>
            </w:r>
          </w:p>
          <w:p w14:paraId="5172894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CD20</w:t>
            </w:r>
          </w:p>
          <w:p w14:paraId="3208884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FoXP3</w:t>
            </w:r>
          </w:p>
          <w:p w14:paraId="0C61342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1AC1F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590F07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1AFFC9E6"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0F85A0AB"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lastRenderedPageBreak/>
              <w:t>Takahashi et al., 2017</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47169E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Cancer-associated fibroblasts promote an immunosuppressive microenvironment through the induction and accumulation of protumoural macrophages</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DF9B6EF"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The infiltration of CAF was associated with the numbers of CD68-positive and CD163-positive macrophages </w:t>
            </w:r>
          </w:p>
          <w:p w14:paraId="4FEBE91B" w14:textId="08F68521" w:rsidR="00980A96" w:rsidRPr="00EA387B" w:rsidRDefault="00CE3C9B" w:rsidP="00CE3C9B">
            <w:pPr>
              <w:spacing w:after="0" w:line="240" w:lineRule="auto"/>
              <w:rPr>
                <w:rFonts w:ascii="Calibri" w:eastAsia="Times New Roman" w:hAnsi="Calibri" w:cs="Calibri"/>
                <w:sz w:val="14"/>
                <w:szCs w:val="14"/>
                <w:lang w:eastAsia="en-GB"/>
              </w:rPr>
            </w:pPr>
            <w:r w:rsidRPr="006D2E7F">
              <w:rPr>
                <w:rFonts w:ascii="Calibri" w:eastAsia="Times New Roman" w:hAnsi="Calibri" w:cs="Calibri"/>
                <w:sz w:val="14"/>
                <w:szCs w:val="14"/>
                <w:lang w:eastAsia="en-GB"/>
              </w:rPr>
              <w:t>Correlated with</w:t>
            </w:r>
            <w:r w:rsidR="00980A96" w:rsidRPr="00EA387B">
              <w:rPr>
                <w:rFonts w:ascii="Calibri" w:eastAsia="Times New Roman" w:hAnsi="Calibri" w:cs="Calibri"/>
                <w:sz w:val="14"/>
                <w:szCs w:val="14"/>
                <w:lang w:eastAsia="en-GB"/>
              </w:rPr>
              <w:t xml:space="preserve"> lymphatic invasion, vascular invasion, lymph node involvement and TNM stage </w:t>
            </w:r>
          </w:p>
          <w:p w14:paraId="285A9B6F"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Infiltration of CAFs was identified as an independent prognostic factor in OSCC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709B70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CD68+:</w:t>
            </w:r>
          </w:p>
          <w:p w14:paraId="0ABE9E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204±200 </w:t>
            </w:r>
          </w:p>
          <w:p w14:paraId="4DDBCE4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Mean±SD CD163+:</w:t>
            </w:r>
          </w:p>
          <w:p w14:paraId="0484BCE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64±55</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34EC3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CAFs play pivotal roles in shaping the tumour immunosuppressive microenvironment in OSCC, and therapeutic strategies to reverse the CAF-mediated immunosuppressive microenvironment need to be considered in order to increase the effectiveness of conventional therapies as well as </w:t>
            </w:r>
            <w:r w:rsidRPr="00EA387B">
              <w:rPr>
                <w:rFonts w:ascii="Calibri" w:eastAsia="Times New Roman" w:hAnsi="Calibri" w:cs="Calibri"/>
                <w:sz w:val="14"/>
                <w:szCs w:val="14"/>
                <w:lang w:eastAsia="en-GB"/>
              </w:rPr>
              <w:lastRenderedPageBreak/>
              <w:t>immunotherapies.</w:t>
            </w:r>
          </w:p>
          <w:p w14:paraId="2FB7950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30DE15E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w:t>
            </w:r>
          </w:p>
          <w:p w14:paraId="52F9F96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AE1EC1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2017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82BEC8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Japan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81CCDC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73</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40F3EF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36-92</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7F00E6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F6582D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4599B3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CA48BD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TNM stage:</w:t>
            </w:r>
          </w:p>
          <w:p w14:paraId="6F95581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I-IV</w:t>
            </w:r>
          </w:p>
          <w:p w14:paraId="4F60A7B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 stage:</w:t>
            </w:r>
          </w:p>
          <w:p w14:paraId="4A1011F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T1-T4</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58D364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stroma </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568E31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Univariate analysis: </w:t>
            </w:r>
          </w:p>
          <w:p w14:paraId="53DCCF4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p w14:paraId="5907F20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2.332</w:t>
            </w:r>
          </w:p>
          <w:p w14:paraId="20DC518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0.859-6.332</w:t>
            </w:r>
          </w:p>
          <w:p w14:paraId="3F308C3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0.10</w:t>
            </w:r>
          </w:p>
          <w:p w14:paraId="44803AE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p w14:paraId="0661763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2.335</w:t>
            </w:r>
          </w:p>
          <w:p w14:paraId="640190F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0.993 - 5.490</w:t>
            </w:r>
          </w:p>
          <w:p w14:paraId="2B245F2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0.05</w:t>
            </w:r>
          </w:p>
          <w:p w14:paraId="2D623C5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 analysis:</w:t>
            </w:r>
          </w:p>
          <w:p w14:paraId="2CB0ECA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p w14:paraId="1A72CA5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1.114</w:t>
            </w:r>
          </w:p>
          <w:p w14:paraId="40C903A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0.345 - 3.597</w:t>
            </w:r>
          </w:p>
          <w:p w14:paraId="7A9E29A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0.86</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0B0116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D9794E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Univariate analysis: </w:t>
            </w:r>
          </w:p>
          <w:p w14:paraId="5B3718A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CD68: </w:t>
            </w:r>
          </w:p>
          <w:p w14:paraId="6BB9E99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HR = 4.307 </w:t>
            </w:r>
          </w:p>
          <w:p w14:paraId="5642B8F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1.259-14.742</w:t>
            </w:r>
          </w:p>
          <w:p w14:paraId="58BED2A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0.02</w:t>
            </w:r>
          </w:p>
          <w:p w14:paraId="2BA3C18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p w14:paraId="4444641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2.304</w:t>
            </w:r>
          </w:p>
          <w:p w14:paraId="0EC0662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0.957 - 5.543</w:t>
            </w:r>
          </w:p>
          <w:p w14:paraId="061AB41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0.06</w:t>
            </w:r>
          </w:p>
          <w:p w14:paraId="497AACD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 analysis:</w:t>
            </w:r>
          </w:p>
          <w:p w14:paraId="02469F7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CD68: </w:t>
            </w:r>
          </w:p>
          <w:p w14:paraId="6A5F368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HR = 2.382</w:t>
            </w:r>
          </w:p>
          <w:p w14:paraId="61BC6EC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0.633 - 8.961</w:t>
            </w:r>
          </w:p>
          <w:p w14:paraId="14F3AC6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0.20</w:t>
            </w:r>
          </w:p>
          <w:p w14:paraId="632AB86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p w14:paraId="78F102F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1.322</w:t>
            </w:r>
          </w:p>
          <w:p w14:paraId="510C66E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0.524-3.338</w:t>
            </w:r>
          </w:p>
          <w:p w14:paraId="63D4480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 = 0.55</w:t>
            </w:r>
          </w:p>
          <w:p w14:paraId="61DB9FB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18AF64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B17415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631580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p w14:paraId="7E0AE6B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34138E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8316BC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77932DA3"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1F12DA2"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 xml:space="preserve">Matsuoka et al., 2015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7078B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The tumour stromal features are associated with resistance to 5‐FU‐based chemoradiotherapy and a poor prognosis in patients with oral squamous cell carcinoma</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1D3EEA8"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The group with high level of CAFs revealed an incidence of advanced pT- and pN-stage cases was significantly higher than that in the group with the low level</w:t>
            </w:r>
          </w:p>
          <w:p w14:paraId="3A776558"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 high TAMs tumour expression was significantly correlated with a poor response to preoperative chemoradiotherapy</w:t>
            </w:r>
          </w:p>
          <w:p w14:paraId="1177B14C"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 A Kaplan–Meier analysis revealed that higher numbers of CAFs and TAMs were significantly correlated with a poor prognosis</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7D9704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Median number:</w:t>
            </w:r>
          </w:p>
          <w:p w14:paraId="2BB5FC9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 = 3.2/HPFs, range 0.0-9.0</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FA7CC52"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High TAM expression level contributed to resistance to chemoradiotherapy and a poor prognosis in patients with OSCC undergoing 5-FU-based to chemoradiotherapy </w:t>
            </w:r>
          </w:p>
          <w:p w14:paraId="63567114"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High CAF expression is associated with an increased p-T stage and p-N stage of clinical OSCC and poor prognosis </w:t>
            </w:r>
          </w:p>
          <w:p w14:paraId="063CFFE2"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Our present findings suggest that the status of the CAFs and TAMs may be appreciable to making treatment decisions to improve the </w:t>
            </w:r>
            <w:r w:rsidRPr="00EA387B">
              <w:rPr>
                <w:rFonts w:ascii="Calibri" w:eastAsia="Times New Roman" w:hAnsi="Calibri" w:cs="Calibri"/>
                <w:sz w:val="14"/>
                <w:szCs w:val="14"/>
                <w:lang w:eastAsia="en-GB"/>
              </w:rPr>
              <w:lastRenderedPageBreak/>
              <w:t>survival of OSCC patients.</w:t>
            </w:r>
          </w:p>
          <w:p w14:paraId="6D313EFD"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Additional studies to clarify the functional roles of the tumour microenvironment in the resistance of cancer cells to chemo- and/or radiotherapy and the therapeutic efficacy of targeting TAMs need to be performed to confirm the clinical significance of our findings.</w:t>
            </w:r>
          </w:p>
          <w:p w14:paraId="154A717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3EF97F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60</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9A54E8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Japan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5C321B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9F0F64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33-87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C25776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462BAA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A9F8BD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Oral squamous cell carcinoma </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5C44B4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TNM stage: I-IV </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6881DD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Tumour stroma at invasive front </w:t>
            </w:r>
          </w:p>
          <w:p w14:paraId="5EEE569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87BC3D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Multivariate analysis:</w:t>
            </w:r>
          </w:p>
          <w:p w14:paraId="3F147CF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CD163: </w:t>
            </w:r>
          </w:p>
          <w:p w14:paraId="100B381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2.30</w:t>
            </w:r>
          </w:p>
          <w:p w14:paraId="1973D02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0.65-8.10</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B0637E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9C2FF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AE8679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0DB4F1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877198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CD163</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1B0B9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499490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64FCD2D7"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644ACAD6"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Kikuchi et al., 2021</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454611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Clinical significance of tumour‐associated immune cells in patients with oral squamous cell carcinoma</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1C7D2D" w14:textId="13273F42"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Multivariate analysis results adjusted by the pathological stage, resection margin, and extracapsular extension showed that a high number of PD-L1 + TAICs and </w:t>
            </w:r>
            <w:r w:rsidR="00842D59" w:rsidRPr="006D2E7F">
              <w:rPr>
                <w:rFonts w:ascii="Calibri" w:eastAsia="Times New Roman" w:hAnsi="Calibri" w:cs="Calibri"/>
                <w:sz w:val="14"/>
                <w:szCs w:val="14"/>
                <w:lang w:eastAsia="en-GB"/>
              </w:rPr>
              <w:t>intratumoural</w:t>
            </w:r>
            <w:r w:rsidRPr="00EA387B">
              <w:rPr>
                <w:rFonts w:ascii="Calibri" w:eastAsia="Times New Roman" w:hAnsi="Calibri" w:cs="Calibri"/>
                <w:sz w:val="14"/>
                <w:szCs w:val="14"/>
                <w:lang w:eastAsia="en-GB"/>
              </w:rPr>
              <w:t xml:space="preserve"> CD68+ TAICs were independent positive and negative prognostic markers </w:t>
            </w:r>
          </w:p>
          <w:p w14:paraId="63FB036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FBF9C3B"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CPS cut-off values of ≥1 and ≥20, the prevalence of PD-L1 expression was 85% (88/103, 85%) and 15% (15/103, 15%)</w:t>
            </w:r>
          </w:p>
          <w:p w14:paraId="64D9544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Median Number:</w:t>
            </w:r>
          </w:p>
          <w:p w14:paraId="008327A0"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 = 10</w:t>
            </w:r>
          </w:p>
          <w:p w14:paraId="4293D3F5"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 = 50</w:t>
            </w:r>
          </w:p>
          <w:p w14:paraId="3C3725A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2AABB60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1873264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148F3AD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5D04E66" w14:textId="13A3EC10"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TAICs in the tumour microenvironment and CD68+ TAICs in the </w:t>
            </w:r>
            <w:r w:rsidR="00842D59" w:rsidRPr="006D2E7F">
              <w:rPr>
                <w:rFonts w:ascii="Calibri" w:eastAsia="Times New Roman" w:hAnsi="Calibri" w:cs="Calibri"/>
                <w:sz w:val="14"/>
                <w:szCs w:val="14"/>
                <w:lang w:eastAsia="en-GB"/>
              </w:rPr>
              <w:t>intratumoural</w:t>
            </w:r>
            <w:r w:rsidRPr="00EA387B">
              <w:rPr>
                <w:rFonts w:ascii="Calibri" w:eastAsia="Times New Roman" w:hAnsi="Calibri" w:cs="Calibri"/>
                <w:sz w:val="14"/>
                <w:szCs w:val="14"/>
                <w:lang w:eastAsia="en-GB"/>
              </w:rPr>
              <w:t xml:space="preserve"> area could act as novel biomarkers for predicting overall survival outcomes in OSCC patients.</w:t>
            </w:r>
          </w:p>
          <w:p w14:paraId="335C7D2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E3A937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2021</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8391D7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Japan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22B5BC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103</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46CD86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30-92</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EB7C676"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60</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B454FD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43</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D13F28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14CB4B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TNM stage: I-IV</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6BE5C0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Tumour stroma, intra-tumoural compartment</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FDE2AB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Univariate analysis: </w:t>
            </w:r>
          </w:p>
          <w:p w14:paraId="0919017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p w14:paraId="1F596C5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 0.84</w:t>
            </w:r>
          </w:p>
          <w:p w14:paraId="449D73E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0.31-2.26</w:t>
            </w:r>
          </w:p>
          <w:p w14:paraId="6775721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p w14:paraId="1FA797A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B71C8B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72D2523"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9F68CD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286589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70096B4"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CD68</w:t>
            </w:r>
          </w:p>
          <w:p w14:paraId="6CA2640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CE4ACB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BC30DF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r w:rsidR="008F510C" w:rsidRPr="00980A96" w14:paraId="367F9587" w14:textId="77777777" w:rsidTr="008F510C">
        <w:tc>
          <w:tcPr>
            <w:tcW w:w="699" w:type="dxa"/>
            <w:tcBorders>
              <w:top w:val="single" w:sz="8" w:space="0" w:color="A3A3A3"/>
              <w:left w:val="single" w:sz="8" w:space="0" w:color="A3A3A3"/>
              <w:bottom w:val="single" w:sz="8" w:space="0" w:color="A3A3A3"/>
              <w:right w:val="single" w:sz="8" w:space="0" w:color="A3A3A3"/>
            </w:tcBorders>
            <w:shd w:val="clear" w:color="auto" w:fill="D0CECE"/>
            <w:tcMar>
              <w:top w:w="40" w:type="dxa"/>
              <w:left w:w="60" w:type="dxa"/>
              <w:bottom w:w="40" w:type="dxa"/>
              <w:right w:w="60" w:type="dxa"/>
            </w:tcMar>
            <w:hideMark/>
          </w:tcPr>
          <w:p w14:paraId="52316ED3" w14:textId="77777777" w:rsidR="00980A96" w:rsidRPr="00EA387B" w:rsidRDefault="00980A96" w:rsidP="00980A96">
            <w:pPr>
              <w:spacing w:after="0" w:line="240" w:lineRule="auto"/>
              <w:rPr>
                <w:rFonts w:ascii="Calibri" w:eastAsia="Times New Roman" w:hAnsi="Calibri" w:cs="Calibri"/>
                <w:b/>
                <w:bCs/>
                <w:sz w:val="14"/>
                <w:szCs w:val="14"/>
                <w:lang w:eastAsia="en-GB"/>
              </w:rPr>
            </w:pPr>
            <w:r w:rsidRPr="00EA387B">
              <w:rPr>
                <w:rFonts w:ascii="Calibri" w:eastAsia="Times New Roman" w:hAnsi="Calibri" w:cs="Calibri"/>
                <w:b/>
                <w:bCs/>
                <w:sz w:val="14"/>
                <w:szCs w:val="14"/>
                <w:lang w:eastAsia="en-GB"/>
              </w:rPr>
              <w:t>Lenouvel et al., 2021</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D7583F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Clinicopathological and prognostic significance of PD‐L1 in oral cancer: A preliminary retrospective immunohistochemistry study</w:t>
            </w:r>
          </w:p>
        </w:tc>
        <w:tc>
          <w:tcPr>
            <w:tcW w:w="156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055A454"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Positive PD-L1 staining was found in 58% of tumours and was significantly more likely in non-smokers, non-drinkers and in tongue squamous cell carcinomas</w:t>
            </w:r>
          </w:p>
          <w:p w14:paraId="608E0A6C"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Increased PD-L1 was also associated with </w:t>
            </w:r>
            <w:r w:rsidRPr="00EA387B">
              <w:rPr>
                <w:rFonts w:ascii="Calibri" w:eastAsia="Times New Roman" w:hAnsi="Calibri" w:cs="Calibri"/>
                <w:sz w:val="14"/>
                <w:szCs w:val="14"/>
                <w:lang w:eastAsia="en-GB"/>
              </w:rPr>
              <w:lastRenderedPageBreak/>
              <w:t xml:space="preserve">increased lymphocyte infiltration as well as PD-L1 staining in lymphocytes and the epithelium adjacent to tumour invasion. </w:t>
            </w:r>
          </w:p>
          <w:p w14:paraId="4432BE41"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No survival benefit was seen from PD-L1 expression in tumour cells</w:t>
            </w: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9B9A87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 - 32 (58%) expressed PD-L1 at a 5% cut-off</w:t>
            </w:r>
          </w:p>
          <w:p w14:paraId="1280C9C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p w14:paraId="71CA9EE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i/>
                <w:iCs/>
                <w:sz w:val="14"/>
                <w:szCs w:val="14"/>
                <w:lang w:eastAsia="en-GB"/>
              </w:rPr>
              <w:t> </w:t>
            </w:r>
          </w:p>
          <w:p w14:paraId="053DFCA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99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61331B8"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xml:space="preserve">PD-L1 expression is more common in non-smokers and non-drinkers, and its presence in the adjacent non-tumour </w:t>
            </w:r>
            <w:r w:rsidRPr="00EA387B">
              <w:rPr>
                <w:rFonts w:ascii="Calibri" w:eastAsia="Times New Roman" w:hAnsi="Calibri" w:cs="Calibri"/>
                <w:sz w:val="14"/>
                <w:szCs w:val="14"/>
                <w:lang w:eastAsia="en-GB"/>
              </w:rPr>
              <w:lastRenderedPageBreak/>
              <w:t>epithelium suggests it may be involved in early oncogenesis.</w:t>
            </w:r>
          </w:p>
          <w:p w14:paraId="19673484" w14:textId="77777777" w:rsidR="00980A96" w:rsidRPr="00EA387B" w:rsidRDefault="00980A96" w:rsidP="00CE3C9B">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We have also shown PD-L1 expression to be significantly associated with tongue OSCC, although further research is needed to confirm this association.</w:t>
            </w:r>
          </w:p>
          <w:p w14:paraId="2756692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90D7FD2"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lastRenderedPageBreak/>
              <w:t>2021</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5ED760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Spain</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1D5C31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55</w:t>
            </w:r>
          </w:p>
        </w:tc>
        <w:tc>
          <w:tcPr>
            <w:tcW w:w="425"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0AAD77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42-87</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5190FA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D7B4E11"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E6EC36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Oral squamous cell carcinoma</w:t>
            </w:r>
          </w:p>
          <w:p w14:paraId="6A4C4A78"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70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BD1D2EF"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TNM stage: I-IV</w:t>
            </w:r>
          </w:p>
          <w:p w14:paraId="0B95DF8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 </w:t>
            </w:r>
          </w:p>
        </w:tc>
        <w:tc>
          <w:tcPr>
            <w:tcW w:w="85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FAD53E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85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7788330"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Univariate analysis:</w:t>
            </w:r>
          </w:p>
          <w:p w14:paraId="354D79BE"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p w14:paraId="7844356D"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HR= 0.58</w:t>
            </w:r>
          </w:p>
          <w:p w14:paraId="6BC29AC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95% Cl = 0.14-2.45</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3B8614B"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379391C"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2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C90D03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64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A90E7A9"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IHC</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41406C7"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PD-L1</w:t>
            </w:r>
          </w:p>
        </w:tc>
        <w:tc>
          <w:tcPr>
            <w:tcW w:w="56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F54C59A"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w:t>
            </w:r>
          </w:p>
        </w:tc>
        <w:tc>
          <w:tcPr>
            <w:tcW w:w="708"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22D7F75" w14:textId="77777777" w:rsidR="00980A96" w:rsidRPr="00EA387B" w:rsidRDefault="00980A96" w:rsidP="00980A96">
            <w:pPr>
              <w:spacing w:after="0" w:line="240" w:lineRule="auto"/>
              <w:rPr>
                <w:rFonts w:ascii="Calibri" w:eastAsia="Times New Roman" w:hAnsi="Calibri" w:cs="Calibri"/>
                <w:sz w:val="14"/>
                <w:szCs w:val="14"/>
                <w:lang w:eastAsia="en-GB"/>
              </w:rPr>
            </w:pPr>
            <w:r w:rsidRPr="00EA387B">
              <w:rPr>
                <w:rFonts w:ascii="Calibri" w:eastAsia="Times New Roman" w:hAnsi="Calibri" w:cs="Calibri"/>
                <w:sz w:val="14"/>
                <w:szCs w:val="14"/>
                <w:lang w:eastAsia="en-GB"/>
              </w:rPr>
              <w:t>PubMed</w:t>
            </w:r>
          </w:p>
        </w:tc>
      </w:tr>
    </w:tbl>
    <w:p w14:paraId="61551A32" w14:textId="77777777" w:rsidR="00EA387B" w:rsidRDefault="00EA387B" w:rsidP="008D6E93">
      <w:pPr>
        <w:spacing w:after="0" w:line="240" w:lineRule="auto"/>
        <w:rPr>
          <w:rFonts w:ascii="Calibri" w:eastAsia="Times New Roman" w:hAnsi="Calibri" w:cs="Calibri"/>
          <w:b/>
          <w:bCs/>
          <w:sz w:val="28"/>
          <w:szCs w:val="28"/>
          <w:lang w:eastAsia="en-GB"/>
        </w:rPr>
      </w:pPr>
    </w:p>
    <w:p w14:paraId="41789389" w14:textId="4B5D9CCC" w:rsidR="00C5386A" w:rsidRDefault="00C5386A" w:rsidP="008D6E93">
      <w:pPr>
        <w:spacing w:after="0" w:line="240" w:lineRule="auto"/>
        <w:rPr>
          <w:rFonts w:ascii="Calibri" w:eastAsia="Times New Roman" w:hAnsi="Calibri" w:cs="Calibri"/>
          <w:b/>
          <w:bCs/>
          <w:sz w:val="28"/>
          <w:szCs w:val="28"/>
          <w:lang w:eastAsia="en-GB"/>
        </w:rPr>
        <w:sectPr w:rsidR="00C5386A" w:rsidSect="00824FE5">
          <w:type w:val="continuous"/>
          <w:pgSz w:w="16838" w:h="11906" w:orient="landscape"/>
          <w:pgMar w:top="1440" w:right="1440" w:bottom="1440" w:left="1440" w:header="709" w:footer="709" w:gutter="0"/>
          <w:cols w:space="708"/>
          <w:docGrid w:linePitch="360"/>
        </w:sectPr>
      </w:pPr>
    </w:p>
    <w:p w14:paraId="224F85A0" w14:textId="7C592FAA" w:rsidR="003F4762" w:rsidRPr="003F4762" w:rsidRDefault="003F4762" w:rsidP="003F4762">
      <w:pPr>
        <w:spacing w:after="0" w:line="240" w:lineRule="auto"/>
        <w:rPr>
          <w:rFonts w:ascii="Calibri" w:eastAsia="Times New Roman" w:hAnsi="Calibri" w:cs="Calibri"/>
          <w:sz w:val="24"/>
          <w:szCs w:val="24"/>
          <w:lang w:eastAsia="en-GB"/>
        </w:rPr>
      </w:pPr>
      <w:r>
        <w:rPr>
          <w:rFonts w:eastAsia="Times New Roman" w:cstheme="minorHAnsi"/>
          <w:b/>
          <w:bCs/>
          <w:sz w:val="24"/>
          <w:szCs w:val="24"/>
          <w:lang w:eastAsia="en-GB"/>
        </w:rPr>
        <w:lastRenderedPageBreak/>
        <w:t>Supplementary table 2:</w:t>
      </w:r>
      <w:r>
        <w:rPr>
          <w:rFonts w:eastAsia="Times New Roman" w:cstheme="minorHAnsi"/>
          <w:sz w:val="24"/>
          <w:szCs w:val="24"/>
          <w:lang w:eastAsia="en-GB"/>
        </w:rPr>
        <w:t xml:space="preserve"> Assessment </w:t>
      </w:r>
      <w:r>
        <w:rPr>
          <w:rFonts w:cstheme="minorHAnsi"/>
          <w:sz w:val="24"/>
          <w:szCs w:val="24"/>
          <w:lang w:val="en-US"/>
        </w:rPr>
        <w:t xml:space="preserve">criteria to evaluate the quality of included studies in current meta-analysis according to the REMARK guidelines. </w:t>
      </w:r>
    </w:p>
    <w:p w14:paraId="1AB6F1AE" w14:textId="77777777" w:rsidR="007D232B" w:rsidRDefault="007D232B" w:rsidP="00720B68">
      <w:pPr>
        <w:spacing w:after="0" w:line="240" w:lineRule="auto"/>
        <w:rPr>
          <w:rFonts w:ascii="Calibri" w:hAnsi="Calibri" w:cs="Calibri"/>
          <w:sz w:val="24"/>
          <w:szCs w:val="24"/>
          <w:lang w:val="en-US"/>
        </w:rPr>
      </w:pPr>
    </w:p>
    <w:p w14:paraId="67F214D0" w14:textId="77777777" w:rsidR="00720B68" w:rsidRDefault="00720B68" w:rsidP="00720B68">
      <w:pPr>
        <w:spacing w:after="0" w:line="240" w:lineRule="auto"/>
        <w:rPr>
          <w:rFonts w:ascii="Calibri" w:hAnsi="Calibri" w:cs="Calibri"/>
          <w:sz w:val="24"/>
          <w:szCs w:val="24"/>
          <w:lang w:val="en-US"/>
        </w:rPr>
      </w:pPr>
    </w:p>
    <w:tbl>
      <w:tblPr>
        <w:tblW w:w="10916" w:type="dxa"/>
        <w:tblInd w:w="-861"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185"/>
        <w:gridCol w:w="7731"/>
      </w:tblGrid>
      <w:tr w:rsidR="00720B68" w:rsidRPr="008F6A94" w14:paraId="6426CDDE" w14:textId="77777777" w:rsidTr="00057638">
        <w:tc>
          <w:tcPr>
            <w:tcW w:w="31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1567AD" w14:textId="77777777" w:rsidR="00720B68" w:rsidRPr="008F6A94" w:rsidRDefault="00720B68" w:rsidP="00057638">
            <w:pPr>
              <w:spacing w:after="0" w:line="240" w:lineRule="auto"/>
              <w:rPr>
                <w:rFonts w:ascii="Calibri" w:eastAsia="Times New Roman" w:hAnsi="Calibri" w:cs="Calibri"/>
                <w:lang w:val="it-IT" w:eastAsia="en-GB"/>
              </w:rPr>
            </w:pPr>
            <w:r w:rsidRPr="008F6A94">
              <w:rPr>
                <w:rFonts w:ascii="Calibri" w:eastAsia="Times New Roman" w:hAnsi="Calibri" w:cs="Calibri"/>
                <w:b/>
                <w:bCs/>
                <w:lang w:val="it-IT" w:eastAsia="en-GB"/>
              </w:rPr>
              <w:t>Checklist Items</w:t>
            </w:r>
          </w:p>
        </w:tc>
        <w:tc>
          <w:tcPr>
            <w:tcW w:w="7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3728D8" w14:textId="77777777" w:rsidR="00720B68" w:rsidRPr="008F6A94" w:rsidRDefault="00720B68" w:rsidP="00057638">
            <w:pPr>
              <w:spacing w:after="0" w:line="240" w:lineRule="auto"/>
              <w:rPr>
                <w:rFonts w:ascii="Calibri" w:eastAsia="Times New Roman" w:hAnsi="Calibri" w:cs="Calibri"/>
                <w:lang w:val="it-IT" w:eastAsia="en-GB"/>
              </w:rPr>
            </w:pPr>
            <w:r w:rsidRPr="008F6A94">
              <w:rPr>
                <w:rFonts w:ascii="Calibri" w:eastAsia="Times New Roman" w:hAnsi="Calibri" w:cs="Calibri"/>
                <w:b/>
                <w:bCs/>
                <w:lang w:val="it-IT" w:eastAsia="en-GB"/>
              </w:rPr>
              <w:t>Criteria</w:t>
            </w:r>
          </w:p>
        </w:tc>
      </w:tr>
      <w:tr w:rsidR="00720B68" w:rsidRPr="008F6A94" w14:paraId="1B3E69D9" w14:textId="77777777" w:rsidTr="00057638">
        <w:tc>
          <w:tcPr>
            <w:tcW w:w="31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B4B0F7" w14:textId="77777777" w:rsidR="00720B68" w:rsidRPr="008F6A94" w:rsidRDefault="00720B68" w:rsidP="00057638">
            <w:pPr>
              <w:spacing w:after="0" w:line="240" w:lineRule="auto"/>
              <w:rPr>
                <w:rFonts w:ascii="Calibri" w:eastAsia="Times New Roman" w:hAnsi="Calibri" w:cs="Calibri"/>
                <w:lang w:val="it-IT" w:eastAsia="en-GB"/>
              </w:rPr>
            </w:pPr>
            <w:r w:rsidRPr="008F6A94">
              <w:rPr>
                <w:rFonts w:ascii="Calibri" w:eastAsia="Times New Roman" w:hAnsi="Calibri" w:cs="Calibri"/>
                <w:b/>
                <w:bCs/>
                <w:i/>
                <w:iCs/>
                <w:lang w:val="it-IT" w:eastAsia="en-GB"/>
              </w:rPr>
              <w:t>1. Samples</w:t>
            </w:r>
          </w:p>
        </w:tc>
        <w:tc>
          <w:tcPr>
            <w:tcW w:w="7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F5BC1D" w14:textId="77777777" w:rsidR="00720B68" w:rsidRPr="008F6A94" w:rsidRDefault="00720B68" w:rsidP="00057638">
            <w:pPr>
              <w:spacing w:after="0" w:line="240" w:lineRule="auto"/>
              <w:rPr>
                <w:rFonts w:ascii="Calibri" w:eastAsia="Times New Roman" w:hAnsi="Calibri" w:cs="Calibri"/>
                <w:lang w:val="en-US" w:eastAsia="en-GB"/>
              </w:rPr>
            </w:pPr>
            <w:r>
              <w:rPr>
                <w:rFonts w:ascii="Calibri" w:eastAsia="Times New Roman" w:hAnsi="Calibri" w:cs="Calibri"/>
                <w:lang w:val="en-US" w:eastAsia="en-GB"/>
              </w:rPr>
              <w:t>Group</w:t>
            </w:r>
            <w:r w:rsidRPr="008F6A94">
              <w:rPr>
                <w:rFonts w:ascii="Calibri" w:eastAsia="Times New Roman" w:hAnsi="Calibri" w:cs="Calibri"/>
                <w:lang w:val="en-US" w:eastAsia="en-GB"/>
              </w:rPr>
              <w:t xml:space="preserve"> </w:t>
            </w:r>
            <w:r>
              <w:rPr>
                <w:rFonts w:ascii="Calibri" w:eastAsia="Times New Roman" w:hAnsi="Calibri" w:cs="Calibri"/>
                <w:lang w:val="en-US" w:eastAsia="en-GB"/>
              </w:rPr>
              <w:t>with a</w:t>
            </w:r>
            <w:r w:rsidRPr="008F6A94">
              <w:rPr>
                <w:rFonts w:ascii="Calibri" w:eastAsia="Times New Roman" w:hAnsi="Calibri" w:cs="Calibri"/>
                <w:lang w:val="en-US" w:eastAsia="en-GB"/>
              </w:rPr>
              <w:t xml:space="preserve"> well-defined study population.                                                                                                                                   </w:t>
            </w:r>
            <w:r>
              <w:rPr>
                <w:rFonts w:ascii="Calibri" w:eastAsia="Times New Roman" w:hAnsi="Calibri" w:cs="Calibri"/>
                <w:lang w:val="en-US" w:eastAsia="en-GB"/>
              </w:rPr>
              <w:t xml:space="preserve">Patients that have received </w:t>
            </w:r>
            <w:r w:rsidRPr="008F6A94">
              <w:rPr>
                <w:rFonts w:ascii="Calibri" w:eastAsia="Times New Roman" w:hAnsi="Calibri" w:cs="Calibri"/>
                <w:lang w:val="en-US" w:eastAsia="en-GB"/>
              </w:rPr>
              <w:t>therapy must be</w:t>
            </w:r>
            <w:r>
              <w:rPr>
                <w:rFonts w:ascii="Calibri" w:eastAsia="Times New Roman" w:hAnsi="Calibri" w:cs="Calibri"/>
                <w:lang w:val="en-US" w:eastAsia="en-GB"/>
              </w:rPr>
              <w:t xml:space="preserve"> known</w:t>
            </w:r>
            <w:r w:rsidRPr="008F6A94">
              <w:rPr>
                <w:rFonts w:ascii="Calibri" w:eastAsia="Times New Roman" w:hAnsi="Calibri" w:cs="Calibri"/>
                <w:lang w:val="en-US" w:eastAsia="en-GB"/>
              </w:rPr>
              <w:t>. Authors</w:t>
            </w:r>
            <w:r>
              <w:rPr>
                <w:rFonts w:ascii="Calibri" w:eastAsia="Times New Roman" w:hAnsi="Calibri" w:cs="Calibri"/>
                <w:lang w:val="en-US" w:eastAsia="en-GB"/>
              </w:rPr>
              <w:t xml:space="preserve"> inform if all patients receive the same treatment or not.</w:t>
            </w:r>
          </w:p>
        </w:tc>
      </w:tr>
      <w:tr w:rsidR="00720B68" w:rsidRPr="008F6A94" w14:paraId="5292DBEB" w14:textId="77777777" w:rsidTr="00057638">
        <w:trPr>
          <w:trHeight w:val="617"/>
        </w:trPr>
        <w:tc>
          <w:tcPr>
            <w:tcW w:w="31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6F5DFB"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b/>
                <w:bCs/>
                <w:i/>
                <w:iCs/>
                <w:lang w:val="en-US" w:eastAsia="en-GB"/>
              </w:rPr>
              <w:t xml:space="preserve">2. Clinical data of the </w:t>
            </w:r>
            <w:r>
              <w:rPr>
                <w:rFonts w:ascii="Calibri" w:eastAsia="Times New Roman" w:hAnsi="Calibri" w:cs="Calibri"/>
                <w:b/>
                <w:bCs/>
                <w:i/>
                <w:iCs/>
                <w:lang w:val="en-US" w:eastAsia="en-GB"/>
              </w:rPr>
              <w:t>group</w:t>
            </w:r>
          </w:p>
        </w:tc>
        <w:tc>
          <w:tcPr>
            <w:tcW w:w="7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755034"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lang w:val="en-US" w:eastAsia="en-GB"/>
              </w:rPr>
              <w:t>The basic clinical data such as number of patients, age, gender, tumour stage</w:t>
            </w:r>
            <w:r>
              <w:rPr>
                <w:rFonts w:ascii="Calibri" w:eastAsia="Times New Roman" w:hAnsi="Calibri" w:cs="Calibri"/>
                <w:lang w:val="en-US" w:eastAsia="en-GB"/>
              </w:rPr>
              <w:t xml:space="preserve"> (</w:t>
            </w:r>
            <w:r w:rsidRPr="008F6A94">
              <w:rPr>
                <w:rFonts w:ascii="Calibri" w:eastAsia="Times New Roman" w:hAnsi="Calibri" w:cs="Calibri"/>
                <w:lang w:val="en-US" w:eastAsia="en-GB"/>
              </w:rPr>
              <w:t xml:space="preserve">clinical stage and histopathologic grade </w:t>
            </w:r>
            <w:r>
              <w:rPr>
                <w:rFonts w:ascii="Calibri" w:eastAsia="Times New Roman" w:hAnsi="Calibri" w:cs="Calibri"/>
                <w:lang w:val="en-US" w:eastAsia="en-GB"/>
              </w:rPr>
              <w:t>provided)</w:t>
            </w:r>
          </w:p>
        </w:tc>
      </w:tr>
      <w:tr w:rsidR="00720B68" w:rsidRPr="008F6A94" w14:paraId="63D28914" w14:textId="77777777" w:rsidTr="00057638">
        <w:tc>
          <w:tcPr>
            <w:tcW w:w="31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0B981E" w14:textId="77777777" w:rsidR="00720B68" w:rsidRPr="008F6A94" w:rsidRDefault="00720B68" w:rsidP="00057638">
            <w:pPr>
              <w:spacing w:after="0" w:line="240" w:lineRule="auto"/>
              <w:rPr>
                <w:rFonts w:ascii="Calibri" w:eastAsia="Times New Roman" w:hAnsi="Calibri" w:cs="Calibri"/>
                <w:lang w:val="it-IT" w:eastAsia="en-GB"/>
              </w:rPr>
            </w:pPr>
            <w:r w:rsidRPr="008F6A94">
              <w:rPr>
                <w:rFonts w:ascii="Calibri" w:eastAsia="Times New Roman" w:hAnsi="Calibri" w:cs="Calibri"/>
                <w:b/>
                <w:bCs/>
                <w:i/>
                <w:iCs/>
                <w:lang w:val="it-IT" w:eastAsia="en-GB"/>
              </w:rPr>
              <w:t>3. Immunohistochemistry</w:t>
            </w:r>
          </w:p>
        </w:tc>
        <w:tc>
          <w:tcPr>
            <w:tcW w:w="7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D79742" w14:textId="77777777" w:rsidR="00720B68" w:rsidRPr="008F6A94" w:rsidRDefault="00720B68" w:rsidP="00057638">
            <w:pPr>
              <w:spacing w:after="0" w:line="240" w:lineRule="auto"/>
              <w:rPr>
                <w:rFonts w:ascii="Calibri" w:eastAsia="Times New Roman" w:hAnsi="Calibri" w:cs="Calibri"/>
                <w:lang w:val="en-US" w:eastAsia="en-GB"/>
              </w:rPr>
            </w:pPr>
            <w:r>
              <w:rPr>
                <w:rFonts w:ascii="Calibri" w:eastAsia="Times New Roman" w:hAnsi="Calibri" w:cs="Calibri"/>
                <w:lang w:val="en-US" w:eastAsia="en-GB"/>
              </w:rPr>
              <w:t>Straightforward</w:t>
            </w:r>
            <w:r w:rsidRPr="008F6A94">
              <w:rPr>
                <w:rFonts w:ascii="Calibri" w:eastAsia="Times New Roman" w:hAnsi="Calibri" w:cs="Calibri"/>
                <w:lang w:val="en-US" w:eastAsia="en-GB"/>
              </w:rPr>
              <w:t>, detailed</w:t>
            </w:r>
            <w:r>
              <w:rPr>
                <w:rFonts w:ascii="Calibri" w:eastAsia="Times New Roman" w:hAnsi="Calibri" w:cs="Calibri"/>
                <w:lang w:val="en-US" w:eastAsia="en-GB"/>
              </w:rPr>
              <w:t xml:space="preserve"> and easy to follow</w:t>
            </w:r>
            <w:r w:rsidRPr="008F6A94">
              <w:rPr>
                <w:rFonts w:ascii="Calibri" w:eastAsia="Times New Roman" w:hAnsi="Calibri" w:cs="Calibri"/>
                <w:lang w:val="en-US" w:eastAsia="en-GB"/>
              </w:rPr>
              <w:t xml:space="preserve"> staining protocol.</w:t>
            </w:r>
          </w:p>
        </w:tc>
      </w:tr>
      <w:tr w:rsidR="00720B68" w:rsidRPr="008F6A94" w14:paraId="7AB80823" w14:textId="77777777" w:rsidTr="00057638">
        <w:trPr>
          <w:trHeight w:val="957"/>
        </w:trPr>
        <w:tc>
          <w:tcPr>
            <w:tcW w:w="31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E1B6C2" w14:textId="77777777" w:rsidR="00720B68" w:rsidRPr="008F6A94" w:rsidRDefault="00720B68" w:rsidP="00057638">
            <w:pPr>
              <w:spacing w:after="0" w:line="240" w:lineRule="auto"/>
              <w:rPr>
                <w:rFonts w:ascii="Calibri" w:eastAsia="Times New Roman" w:hAnsi="Calibri" w:cs="Calibri"/>
                <w:lang w:val="it-IT" w:eastAsia="en-GB"/>
              </w:rPr>
            </w:pPr>
            <w:r w:rsidRPr="008F6A94">
              <w:rPr>
                <w:rFonts w:ascii="Calibri" w:eastAsia="Times New Roman" w:hAnsi="Calibri" w:cs="Calibri"/>
                <w:b/>
                <w:bCs/>
                <w:i/>
                <w:iCs/>
                <w:lang w:val="it-IT" w:eastAsia="en-GB"/>
              </w:rPr>
              <w:t>4. Prognostication</w:t>
            </w:r>
          </w:p>
        </w:tc>
        <w:tc>
          <w:tcPr>
            <w:tcW w:w="7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2CF8EE"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lang w:val="en-US" w:eastAsia="en-GB"/>
              </w:rPr>
              <w:t xml:space="preserve">Clearly defined outcome </w:t>
            </w:r>
            <w:r>
              <w:rPr>
                <w:rFonts w:ascii="Calibri" w:eastAsia="Times New Roman" w:hAnsi="Calibri" w:cs="Calibri"/>
                <w:lang w:val="en-US" w:eastAsia="en-GB"/>
              </w:rPr>
              <w:t xml:space="preserve">in regard to </w:t>
            </w:r>
            <w:r w:rsidRPr="008F6A94">
              <w:rPr>
                <w:rFonts w:ascii="Calibri" w:eastAsia="Times New Roman" w:hAnsi="Calibri" w:cs="Calibri"/>
                <w:lang w:val="en-US" w:eastAsia="en-GB"/>
              </w:rPr>
              <w:t>duration of follow-up.</w:t>
            </w:r>
          </w:p>
          <w:p w14:paraId="5C56B51A" w14:textId="77777777" w:rsidR="00720B68" w:rsidRPr="008F6A94" w:rsidRDefault="00720B68" w:rsidP="00057638">
            <w:pPr>
              <w:spacing w:after="0" w:line="240" w:lineRule="auto"/>
              <w:rPr>
                <w:rFonts w:ascii="Calibri" w:eastAsia="Times New Roman" w:hAnsi="Calibri" w:cs="Calibri"/>
                <w:lang w:val="en-US" w:eastAsia="en-GB"/>
              </w:rPr>
            </w:pPr>
            <w:r>
              <w:rPr>
                <w:rFonts w:ascii="Calibri" w:eastAsia="Times New Roman" w:hAnsi="Calibri" w:cs="Calibri"/>
                <w:lang w:eastAsia="en-GB"/>
              </w:rPr>
              <w:t>A</w:t>
            </w:r>
            <w:r w:rsidRPr="00860C45">
              <w:rPr>
                <w:rFonts w:ascii="Calibri" w:eastAsia="Times New Roman" w:hAnsi="Calibri" w:cs="Calibri"/>
                <w:lang w:eastAsia="en-GB"/>
              </w:rPr>
              <w:t>nalysed</w:t>
            </w:r>
            <w:r w:rsidRPr="008F6A94">
              <w:rPr>
                <w:rFonts w:ascii="Calibri" w:eastAsia="Times New Roman" w:hAnsi="Calibri" w:cs="Calibri"/>
                <w:lang w:val="en-US" w:eastAsia="en-GB"/>
              </w:rPr>
              <w:t xml:space="preserve"> survival endpoints were defined (e.g. overall survival (OS))</w:t>
            </w:r>
          </w:p>
          <w:p w14:paraId="056E7CD7"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lang w:val="en-US" w:eastAsia="en-GB"/>
              </w:rPr>
              <w:t xml:space="preserve">Direction of effect on survival analysis in Kaplan-Meier curves. </w:t>
            </w:r>
          </w:p>
        </w:tc>
      </w:tr>
      <w:tr w:rsidR="00720B68" w:rsidRPr="008F6A94" w14:paraId="350F74B0" w14:textId="77777777" w:rsidTr="00057638">
        <w:trPr>
          <w:trHeight w:val="1454"/>
        </w:trPr>
        <w:tc>
          <w:tcPr>
            <w:tcW w:w="31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1D2439" w14:textId="77777777" w:rsidR="00720B68" w:rsidRPr="008F6A94" w:rsidRDefault="00720B68" w:rsidP="00057638">
            <w:pPr>
              <w:spacing w:after="0" w:line="240" w:lineRule="auto"/>
              <w:rPr>
                <w:rFonts w:ascii="Calibri" w:eastAsia="Times New Roman" w:hAnsi="Calibri" w:cs="Calibri"/>
                <w:lang w:val="it-IT" w:eastAsia="en-GB"/>
              </w:rPr>
            </w:pPr>
            <w:r w:rsidRPr="008F6A94">
              <w:rPr>
                <w:rFonts w:ascii="Calibri" w:eastAsia="Times New Roman" w:hAnsi="Calibri" w:cs="Calibri"/>
                <w:b/>
                <w:bCs/>
                <w:i/>
                <w:iCs/>
                <w:lang w:val="it-IT" w:eastAsia="en-GB"/>
              </w:rPr>
              <w:t>5. Statistics</w:t>
            </w:r>
          </w:p>
        </w:tc>
        <w:tc>
          <w:tcPr>
            <w:tcW w:w="7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035BC6"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lang w:val="en-US" w:eastAsia="en-GB"/>
              </w:rPr>
              <w:t xml:space="preserve">Cutoff point, which used to </w:t>
            </w:r>
            <w:r>
              <w:rPr>
                <w:rFonts w:ascii="Calibri" w:eastAsia="Times New Roman" w:hAnsi="Calibri" w:cs="Calibri"/>
                <w:lang w:val="en-US" w:eastAsia="en-GB"/>
              </w:rPr>
              <w:t>subgroup</w:t>
            </w:r>
            <w:r w:rsidRPr="008F6A94">
              <w:rPr>
                <w:rFonts w:ascii="Calibri" w:eastAsia="Times New Roman" w:hAnsi="Calibri" w:cs="Calibri"/>
                <w:lang w:val="en-US" w:eastAsia="en-GB"/>
              </w:rPr>
              <w:t xml:space="preserve"> the cases into</w:t>
            </w:r>
            <w:r>
              <w:rPr>
                <w:rFonts w:ascii="Calibri" w:eastAsia="Times New Roman" w:hAnsi="Calibri" w:cs="Calibri"/>
                <w:lang w:val="en-US" w:eastAsia="en-GB"/>
              </w:rPr>
              <w:t xml:space="preserve"> high or low</w:t>
            </w:r>
            <w:r w:rsidRPr="008F6A94">
              <w:rPr>
                <w:rFonts w:ascii="Calibri" w:eastAsia="Times New Roman" w:hAnsi="Calibri" w:cs="Calibri"/>
                <w:lang w:val="en-US" w:eastAsia="en-GB"/>
              </w:rPr>
              <w:t xml:space="preserve"> risk groups</w:t>
            </w:r>
            <w:r>
              <w:rPr>
                <w:rFonts w:ascii="Calibri" w:eastAsia="Times New Roman" w:hAnsi="Calibri" w:cs="Calibri"/>
                <w:lang w:val="en-US" w:eastAsia="en-GB"/>
              </w:rPr>
              <w:t xml:space="preserve"> was informed.</w:t>
            </w:r>
          </w:p>
          <w:p w14:paraId="59E49631"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lang w:val="en-US" w:eastAsia="en-GB"/>
              </w:rPr>
              <w:t xml:space="preserve">Estimated </w:t>
            </w:r>
            <w:r>
              <w:rPr>
                <w:rFonts w:ascii="Calibri" w:eastAsia="Times New Roman" w:hAnsi="Calibri" w:cs="Calibri"/>
                <w:lang w:val="en-US" w:eastAsia="en-GB"/>
              </w:rPr>
              <w:t xml:space="preserve">values </w:t>
            </w:r>
            <w:r w:rsidRPr="008F6A94">
              <w:rPr>
                <w:rFonts w:ascii="Calibri" w:eastAsia="Times New Roman" w:hAnsi="Calibri" w:cs="Calibri"/>
                <w:lang w:val="en-US" w:eastAsia="en-GB"/>
              </w:rPr>
              <w:t>(HR, 95% Cl and P-value) describing the</w:t>
            </w:r>
            <w:r>
              <w:rPr>
                <w:rFonts w:ascii="Calibri" w:eastAsia="Times New Roman" w:hAnsi="Calibri" w:cs="Calibri"/>
                <w:lang w:val="en-US" w:eastAsia="en-GB"/>
              </w:rPr>
              <w:t xml:space="preserve"> assessed</w:t>
            </w:r>
            <w:r w:rsidRPr="008F6A94">
              <w:rPr>
                <w:rFonts w:ascii="Calibri" w:eastAsia="Times New Roman" w:hAnsi="Calibri" w:cs="Calibri"/>
                <w:lang w:val="en-US" w:eastAsia="en-GB"/>
              </w:rPr>
              <w:t xml:space="preserve"> biomarker and outcome was provided</w:t>
            </w:r>
            <w:r>
              <w:rPr>
                <w:rFonts w:ascii="Calibri" w:eastAsia="Times New Roman" w:hAnsi="Calibri" w:cs="Calibri"/>
                <w:lang w:val="en-US" w:eastAsia="en-GB"/>
              </w:rPr>
              <w:t xml:space="preserve"> including either univariate or multivariate analyses.</w:t>
            </w:r>
          </w:p>
          <w:p w14:paraId="3162C43F" w14:textId="77777777" w:rsidR="00720B68" w:rsidRPr="008F6A94" w:rsidRDefault="00720B68" w:rsidP="00057638">
            <w:pPr>
              <w:spacing w:after="0" w:line="240" w:lineRule="auto"/>
              <w:rPr>
                <w:rFonts w:ascii="Calibri" w:eastAsia="Times New Roman" w:hAnsi="Calibri" w:cs="Calibri"/>
                <w:lang w:val="en-US" w:eastAsia="en-GB"/>
              </w:rPr>
            </w:pPr>
            <w:r>
              <w:rPr>
                <w:rFonts w:ascii="Calibri" w:eastAsia="Times New Roman" w:hAnsi="Calibri" w:cs="Calibri"/>
                <w:lang w:val="en-US" w:eastAsia="en-GB"/>
              </w:rPr>
              <w:t>S</w:t>
            </w:r>
            <w:r w:rsidRPr="008F6A94">
              <w:rPr>
                <w:rFonts w:ascii="Calibri" w:eastAsia="Times New Roman" w:hAnsi="Calibri" w:cs="Calibri"/>
                <w:lang w:val="en-US" w:eastAsia="en-GB"/>
              </w:rPr>
              <w:t>tatistical analysis (e.g., Cox</w:t>
            </w:r>
            <w:r>
              <w:rPr>
                <w:rFonts w:ascii="Calibri" w:eastAsia="Times New Roman" w:hAnsi="Calibri" w:cs="Calibri"/>
                <w:lang w:val="en-US" w:eastAsia="en-GB"/>
              </w:rPr>
              <w:t>’s proportional hazards</w:t>
            </w:r>
            <w:r w:rsidRPr="008F6A94">
              <w:rPr>
                <w:rFonts w:ascii="Calibri" w:eastAsia="Times New Roman" w:hAnsi="Calibri" w:cs="Calibri"/>
                <w:lang w:val="en-US" w:eastAsia="en-GB"/>
              </w:rPr>
              <w:t xml:space="preserve"> regression model) was performed to adjust the </w:t>
            </w:r>
            <w:r>
              <w:rPr>
                <w:rFonts w:ascii="Calibri" w:eastAsia="Times New Roman" w:hAnsi="Calibri" w:cs="Calibri"/>
                <w:lang w:val="en-US" w:eastAsia="en-GB"/>
              </w:rPr>
              <w:t>biomarker effect</w:t>
            </w:r>
            <w:r w:rsidRPr="008F6A94">
              <w:rPr>
                <w:rFonts w:ascii="Calibri" w:eastAsia="Times New Roman" w:hAnsi="Calibri" w:cs="Calibri"/>
                <w:lang w:val="en-US" w:eastAsia="en-GB"/>
              </w:rPr>
              <w:t xml:space="preserve"> for </w:t>
            </w:r>
            <w:r>
              <w:rPr>
                <w:rFonts w:ascii="Calibri" w:eastAsia="Times New Roman" w:hAnsi="Calibri" w:cs="Calibri"/>
                <w:lang w:val="en-US" w:eastAsia="en-GB"/>
              </w:rPr>
              <w:t>investigated</w:t>
            </w:r>
            <w:r w:rsidRPr="008F6A94">
              <w:rPr>
                <w:rFonts w:ascii="Calibri" w:eastAsia="Times New Roman" w:hAnsi="Calibri" w:cs="Calibri"/>
                <w:lang w:val="en-US" w:eastAsia="en-GB"/>
              </w:rPr>
              <w:t xml:space="preserve"> prognostic factors.</w:t>
            </w:r>
          </w:p>
        </w:tc>
      </w:tr>
      <w:tr w:rsidR="00720B68" w:rsidRPr="008F6A94" w14:paraId="5A06DF1A" w14:textId="77777777" w:rsidTr="00057638">
        <w:trPr>
          <w:trHeight w:val="896"/>
        </w:trPr>
        <w:tc>
          <w:tcPr>
            <w:tcW w:w="31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FC4893" w14:textId="77777777" w:rsidR="00720B68" w:rsidRPr="008F6A94" w:rsidRDefault="00720B68" w:rsidP="00057638">
            <w:pPr>
              <w:spacing w:after="0" w:line="240" w:lineRule="auto"/>
              <w:rPr>
                <w:rFonts w:ascii="Calibri" w:eastAsia="Times New Roman" w:hAnsi="Calibri" w:cs="Calibri"/>
                <w:lang w:val="it-IT" w:eastAsia="en-GB"/>
              </w:rPr>
            </w:pPr>
            <w:r w:rsidRPr="008F6A94">
              <w:rPr>
                <w:rFonts w:ascii="Calibri" w:eastAsia="Times New Roman" w:hAnsi="Calibri" w:cs="Calibri"/>
                <w:b/>
                <w:bCs/>
                <w:i/>
                <w:iCs/>
                <w:lang w:val="it-IT" w:eastAsia="en-GB"/>
              </w:rPr>
              <w:t>6. Prognostic Factors</w:t>
            </w:r>
          </w:p>
        </w:tc>
        <w:tc>
          <w:tcPr>
            <w:tcW w:w="77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78F190"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lang w:val="en-US" w:eastAsia="en-GB"/>
              </w:rPr>
              <w:t>The prognostic value of the prognostic factors w</w:t>
            </w:r>
            <w:r>
              <w:rPr>
                <w:rFonts w:ascii="Calibri" w:eastAsia="Times New Roman" w:hAnsi="Calibri" w:cs="Calibri"/>
                <w:lang w:val="en-US" w:eastAsia="en-GB"/>
              </w:rPr>
              <w:t>as included</w:t>
            </w:r>
          </w:p>
          <w:p w14:paraId="6BD80A0F" w14:textId="77777777" w:rsidR="00720B68" w:rsidRPr="008F6A94" w:rsidRDefault="00720B68" w:rsidP="00057638">
            <w:pPr>
              <w:spacing w:after="0" w:line="240" w:lineRule="auto"/>
              <w:rPr>
                <w:rFonts w:ascii="Calibri" w:eastAsia="Times New Roman" w:hAnsi="Calibri" w:cs="Calibri"/>
                <w:lang w:val="en-US" w:eastAsia="en-GB"/>
              </w:rPr>
            </w:pPr>
            <w:r w:rsidRPr="008F6A94">
              <w:rPr>
                <w:rFonts w:ascii="Calibri" w:eastAsia="Times New Roman" w:hAnsi="Calibri" w:cs="Calibri"/>
                <w:lang w:val="en-US" w:eastAsia="en-GB"/>
              </w:rPr>
              <w:t xml:space="preserve">The relationship between the evaluated </w:t>
            </w:r>
            <w:r>
              <w:rPr>
                <w:rFonts w:ascii="Calibri" w:eastAsia="Times New Roman" w:hAnsi="Calibri" w:cs="Calibri"/>
                <w:lang w:val="en-US" w:eastAsia="en-GB"/>
              </w:rPr>
              <w:t>biomarker or biomarkers</w:t>
            </w:r>
            <w:r w:rsidRPr="008F6A94">
              <w:rPr>
                <w:rFonts w:ascii="Calibri" w:eastAsia="Times New Roman" w:hAnsi="Calibri" w:cs="Calibri"/>
                <w:lang w:val="en-US" w:eastAsia="en-GB"/>
              </w:rPr>
              <w:t xml:space="preserve"> and </w:t>
            </w:r>
            <w:r>
              <w:rPr>
                <w:rFonts w:ascii="Calibri" w:eastAsia="Times New Roman" w:hAnsi="Calibri" w:cs="Calibri"/>
                <w:lang w:val="en-US" w:eastAsia="en-GB"/>
              </w:rPr>
              <w:t>known</w:t>
            </w:r>
            <w:r w:rsidRPr="008F6A94">
              <w:rPr>
                <w:rFonts w:ascii="Calibri" w:eastAsia="Times New Roman" w:hAnsi="Calibri" w:cs="Calibri"/>
                <w:lang w:val="en-US" w:eastAsia="en-GB"/>
              </w:rPr>
              <w:t xml:space="preserve"> prognostic factors were reported.</w:t>
            </w:r>
          </w:p>
        </w:tc>
      </w:tr>
    </w:tbl>
    <w:p w14:paraId="109B34AD" w14:textId="77777777" w:rsidR="002D466E" w:rsidRDefault="002D466E" w:rsidP="00CF703B">
      <w:pPr>
        <w:tabs>
          <w:tab w:val="left" w:pos="1020"/>
        </w:tabs>
        <w:rPr>
          <w:rFonts w:ascii="Calibri" w:eastAsia="Times New Roman" w:hAnsi="Calibri" w:cs="Calibri"/>
          <w:b/>
          <w:bCs/>
          <w:sz w:val="28"/>
          <w:szCs w:val="28"/>
          <w:lang w:eastAsia="en-GB"/>
        </w:rPr>
      </w:pPr>
    </w:p>
    <w:p w14:paraId="41D94753" w14:textId="77777777" w:rsidR="00754299" w:rsidRDefault="00754299" w:rsidP="00CF703B">
      <w:pPr>
        <w:spacing w:after="0" w:line="240" w:lineRule="auto"/>
        <w:rPr>
          <w:rFonts w:ascii="Calibri" w:eastAsia="Times New Roman" w:hAnsi="Calibri" w:cs="Calibri"/>
          <w:b/>
          <w:bCs/>
          <w:sz w:val="24"/>
          <w:szCs w:val="24"/>
          <w:lang w:eastAsia="en-GB"/>
        </w:rPr>
      </w:pPr>
    </w:p>
    <w:p w14:paraId="4B10DC60" w14:textId="77777777" w:rsidR="00754299" w:rsidRDefault="00754299" w:rsidP="00CF703B">
      <w:pPr>
        <w:spacing w:after="0" w:line="240" w:lineRule="auto"/>
        <w:rPr>
          <w:rFonts w:ascii="Calibri" w:eastAsia="Times New Roman" w:hAnsi="Calibri" w:cs="Calibri"/>
          <w:b/>
          <w:bCs/>
          <w:sz w:val="24"/>
          <w:szCs w:val="24"/>
          <w:lang w:eastAsia="en-GB"/>
        </w:rPr>
      </w:pPr>
    </w:p>
    <w:p w14:paraId="05D74392" w14:textId="77777777" w:rsidR="00754299" w:rsidRDefault="00754299" w:rsidP="00CF703B">
      <w:pPr>
        <w:spacing w:after="0" w:line="240" w:lineRule="auto"/>
        <w:rPr>
          <w:rFonts w:ascii="Calibri" w:eastAsia="Times New Roman" w:hAnsi="Calibri" w:cs="Calibri"/>
          <w:b/>
          <w:bCs/>
          <w:sz w:val="24"/>
          <w:szCs w:val="24"/>
          <w:lang w:eastAsia="en-GB"/>
        </w:rPr>
      </w:pPr>
    </w:p>
    <w:p w14:paraId="1737433C" w14:textId="77777777" w:rsidR="00754299" w:rsidRDefault="00754299" w:rsidP="00CF703B">
      <w:pPr>
        <w:spacing w:after="0" w:line="240" w:lineRule="auto"/>
        <w:rPr>
          <w:rFonts w:ascii="Calibri" w:eastAsia="Times New Roman" w:hAnsi="Calibri" w:cs="Calibri"/>
          <w:b/>
          <w:bCs/>
          <w:sz w:val="24"/>
          <w:szCs w:val="24"/>
          <w:lang w:eastAsia="en-GB"/>
        </w:rPr>
      </w:pPr>
    </w:p>
    <w:p w14:paraId="2CEE448E" w14:textId="77777777" w:rsidR="00754299" w:rsidRDefault="00754299" w:rsidP="00CF703B">
      <w:pPr>
        <w:spacing w:after="0" w:line="240" w:lineRule="auto"/>
        <w:rPr>
          <w:rFonts w:ascii="Calibri" w:eastAsia="Times New Roman" w:hAnsi="Calibri" w:cs="Calibri"/>
          <w:b/>
          <w:bCs/>
          <w:sz w:val="24"/>
          <w:szCs w:val="24"/>
          <w:lang w:eastAsia="en-GB"/>
        </w:rPr>
      </w:pPr>
    </w:p>
    <w:p w14:paraId="6DDC7FE1" w14:textId="77777777" w:rsidR="00754299" w:rsidRDefault="00754299" w:rsidP="00CF703B">
      <w:pPr>
        <w:spacing w:after="0" w:line="240" w:lineRule="auto"/>
        <w:rPr>
          <w:rFonts w:ascii="Calibri" w:eastAsia="Times New Roman" w:hAnsi="Calibri" w:cs="Calibri"/>
          <w:b/>
          <w:bCs/>
          <w:sz w:val="24"/>
          <w:szCs w:val="24"/>
          <w:lang w:eastAsia="en-GB"/>
        </w:rPr>
      </w:pPr>
    </w:p>
    <w:p w14:paraId="327ED79E" w14:textId="77777777" w:rsidR="00754299" w:rsidRDefault="00754299" w:rsidP="00CF703B">
      <w:pPr>
        <w:spacing w:after="0" w:line="240" w:lineRule="auto"/>
        <w:rPr>
          <w:rFonts w:ascii="Calibri" w:eastAsia="Times New Roman" w:hAnsi="Calibri" w:cs="Calibri"/>
          <w:b/>
          <w:bCs/>
          <w:sz w:val="24"/>
          <w:szCs w:val="24"/>
          <w:lang w:eastAsia="en-GB"/>
        </w:rPr>
      </w:pPr>
    </w:p>
    <w:p w14:paraId="129D9F0A" w14:textId="77777777" w:rsidR="00754299" w:rsidRDefault="00754299" w:rsidP="00CF703B">
      <w:pPr>
        <w:spacing w:after="0" w:line="240" w:lineRule="auto"/>
        <w:rPr>
          <w:rFonts w:ascii="Calibri" w:eastAsia="Times New Roman" w:hAnsi="Calibri" w:cs="Calibri"/>
          <w:b/>
          <w:bCs/>
          <w:sz w:val="24"/>
          <w:szCs w:val="24"/>
          <w:lang w:eastAsia="en-GB"/>
        </w:rPr>
      </w:pPr>
    </w:p>
    <w:p w14:paraId="2912B4C9" w14:textId="77777777" w:rsidR="00754299" w:rsidRDefault="00754299" w:rsidP="00CF703B">
      <w:pPr>
        <w:spacing w:after="0" w:line="240" w:lineRule="auto"/>
        <w:rPr>
          <w:rFonts w:ascii="Calibri" w:eastAsia="Times New Roman" w:hAnsi="Calibri" w:cs="Calibri"/>
          <w:b/>
          <w:bCs/>
          <w:sz w:val="24"/>
          <w:szCs w:val="24"/>
          <w:lang w:eastAsia="en-GB"/>
        </w:rPr>
      </w:pPr>
    </w:p>
    <w:p w14:paraId="30398EA1" w14:textId="77777777" w:rsidR="00754299" w:rsidRDefault="00754299" w:rsidP="00CF703B">
      <w:pPr>
        <w:spacing w:after="0" w:line="240" w:lineRule="auto"/>
        <w:rPr>
          <w:rFonts w:ascii="Calibri" w:eastAsia="Times New Roman" w:hAnsi="Calibri" w:cs="Calibri"/>
          <w:b/>
          <w:bCs/>
          <w:sz w:val="24"/>
          <w:szCs w:val="24"/>
          <w:lang w:eastAsia="en-GB"/>
        </w:rPr>
      </w:pPr>
    </w:p>
    <w:p w14:paraId="3DFEC27A" w14:textId="77777777" w:rsidR="00754299" w:rsidRDefault="00754299" w:rsidP="00CF703B">
      <w:pPr>
        <w:spacing w:after="0" w:line="240" w:lineRule="auto"/>
        <w:rPr>
          <w:rFonts w:ascii="Calibri" w:eastAsia="Times New Roman" w:hAnsi="Calibri" w:cs="Calibri"/>
          <w:b/>
          <w:bCs/>
          <w:sz w:val="24"/>
          <w:szCs w:val="24"/>
          <w:lang w:eastAsia="en-GB"/>
        </w:rPr>
      </w:pPr>
    </w:p>
    <w:p w14:paraId="15583AF0" w14:textId="77777777" w:rsidR="00754299" w:rsidRDefault="00754299" w:rsidP="00CF703B">
      <w:pPr>
        <w:spacing w:after="0" w:line="240" w:lineRule="auto"/>
        <w:rPr>
          <w:rFonts w:ascii="Calibri" w:eastAsia="Times New Roman" w:hAnsi="Calibri" w:cs="Calibri"/>
          <w:b/>
          <w:bCs/>
          <w:sz w:val="24"/>
          <w:szCs w:val="24"/>
          <w:lang w:eastAsia="en-GB"/>
        </w:rPr>
      </w:pPr>
    </w:p>
    <w:p w14:paraId="63E7AC3C" w14:textId="77777777" w:rsidR="00754299" w:rsidRDefault="00754299" w:rsidP="00CF703B">
      <w:pPr>
        <w:spacing w:after="0" w:line="240" w:lineRule="auto"/>
        <w:rPr>
          <w:rFonts w:ascii="Calibri" w:eastAsia="Times New Roman" w:hAnsi="Calibri" w:cs="Calibri"/>
          <w:b/>
          <w:bCs/>
          <w:sz w:val="24"/>
          <w:szCs w:val="24"/>
          <w:lang w:eastAsia="en-GB"/>
        </w:rPr>
      </w:pPr>
    </w:p>
    <w:p w14:paraId="7F815EA4" w14:textId="77777777" w:rsidR="00754299" w:rsidRDefault="00754299" w:rsidP="00CF703B">
      <w:pPr>
        <w:spacing w:after="0" w:line="240" w:lineRule="auto"/>
        <w:rPr>
          <w:rFonts w:ascii="Calibri" w:eastAsia="Times New Roman" w:hAnsi="Calibri" w:cs="Calibri"/>
          <w:b/>
          <w:bCs/>
          <w:sz w:val="24"/>
          <w:szCs w:val="24"/>
          <w:lang w:eastAsia="en-GB"/>
        </w:rPr>
      </w:pPr>
    </w:p>
    <w:p w14:paraId="4C73C137" w14:textId="77777777" w:rsidR="00754299" w:rsidRDefault="00754299" w:rsidP="00CF703B">
      <w:pPr>
        <w:spacing w:after="0" w:line="240" w:lineRule="auto"/>
        <w:rPr>
          <w:rFonts w:ascii="Calibri" w:eastAsia="Times New Roman" w:hAnsi="Calibri" w:cs="Calibri"/>
          <w:b/>
          <w:bCs/>
          <w:sz w:val="24"/>
          <w:szCs w:val="24"/>
          <w:lang w:eastAsia="en-GB"/>
        </w:rPr>
      </w:pPr>
    </w:p>
    <w:p w14:paraId="0CBF2390" w14:textId="77777777" w:rsidR="00754299" w:rsidRDefault="00754299" w:rsidP="00CF703B">
      <w:pPr>
        <w:spacing w:after="0" w:line="240" w:lineRule="auto"/>
        <w:rPr>
          <w:rFonts w:ascii="Calibri" w:eastAsia="Times New Roman" w:hAnsi="Calibri" w:cs="Calibri"/>
          <w:b/>
          <w:bCs/>
          <w:sz w:val="24"/>
          <w:szCs w:val="24"/>
          <w:lang w:eastAsia="en-GB"/>
        </w:rPr>
      </w:pPr>
    </w:p>
    <w:p w14:paraId="48A801D7" w14:textId="77777777" w:rsidR="00754299" w:rsidRDefault="00754299" w:rsidP="00CF703B">
      <w:pPr>
        <w:spacing w:after="0" w:line="240" w:lineRule="auto"/>
        <w:rPr>
          <w:rFonts w:ascii="Calibri" w:eastAsia="Times New Roman" w:hAnsi="Calibri" w:cs="Calibri"/>
          <w:b/>
          <w:bCs/>
          <w:sz w:val="24"/>
          <w:szCs w:val="24"/>
          <w:lang w:eastAsia="en-GB"/>
        </w:rPr>
      </w:pPr>
    </w:p>
    <w:p w14:paraId="7E856E0A" w14:textId="77777777" w:rsidR="00754299" w:rsidRDefault="00754299" w:rsidP="00CF703B">
      <w:pPr>
        <w:spacing w:after="0" w:line="240" w:lineRule="auto"/>
        <w:rPr>
          <w:rFonts w:ascii="Calibri" w:eastAsia="Times New Roman" w:hAnsi="Calibri" w:cs="Calibri"/>
          <w:b/>
          <w:bCs/>
          <w:sz w:val="24"/>
          <w:szCs w:val="24"/>
          <w:lang w:eastAsia="en-GB"/>
        </w:rPr>
      </w:pPr>
    </w:p>
    <w:p w14:paraId="0172626D" w14:textId="77777777" w:rsidR="00754299" w:rsidRDefault="00754299" w:rsidP="00CF703B">
      <w:pPr>
        <w:spacing w:after="0" w:line="240" w:lineRule="auto"/>
        <w:rPr>
          <w:rFonts w:ascii="Calibri" w:eastAsia="Times New Roman" w:hAnsi="Calibri" w:cs="Calibri"/>
          <w:b/>
          <w:bCs/>
          <w:sz w:val="24"/>
          <w:szCs w:val="24"/>
          <w:lang w:eastAsia="en-GB"/>
        </w:rPr>
      </w:pPr>
    </w:p>
    <w:p w14:paraId="73F325EA" w14:textId="77777777" w:rsidR="00754299" w:rsidRDefault="00754299" w:rsidP="00CF703B">
      <w:pPr>
        <w:spacing w:after="0" w:line="240" w:lineRule="auto"/>
        <w:rPr>
          <w:rFonts w:ascii="Calibri" w:eastAsia="Times New Roman" w:hAnsi="Calibri" w:cs="Calibri"/>
          <w:b/>
          <w:bCs/>
          <w:sz w:val="24"/>
          <w:szCs w:val="24"/>
          <w:lang w:eastAsia="en-GB"/>
        </w:rPr>
      </w:pPr>
    </w:p>
    <w:p w14:paraId="58170F62" w14:textId="77777777" w:rsidR="0053265F" w:rsidRDefault="0053265F" w:rsidP="00CF703B">
      <w:pPr>
        <w:spacing w:after="0" w:line="240" w:lineRule="auto"/>
        <w:rPr>
          <w:rFonts w:ascii="Calibri" w:eastAsia="Times New Roman" w:hAnsi="Calibri" w:cs="Calibri"/>
          <w:b/>
          <w:bCs/>
          <w:sz w:val="24"/>
          <w:szCs w:val="24"/>
          <w:lang w:eastAsia="en-GB"/>
        </w:rPr>
      </w:pPr>
    </w:p>
    <w:p w14:paraId="653D4E2B" w14:textId="5DAF305F" w:rsidR="00293A26" w:rsidRPr="00293A26" w:rsidRDefault="00293A26" w:rsidP="00293A26">
      <w:pPr>
        <w:spacing w:after="0" w:line="240" w:lineRule="auto"/>
        <w:rPr>
          <w:rFonts w:ascii="Calibri" w:hAnsi="Calibri" w:cs="Calibri"/>
          <w:sz w:val="24"/>
          <w:szCs w:val="24"/>
          <w:lang w:val="en-US"/>
        </w:rPr>
      </w:pPr>
      <w:r>
        <w:rPr>
          <w:rFonts w:eastAsia="Times New Roman" w:cstheme="minorHAnsi"/>
          <w:b/>
          <w:bCs/>
          <w:sz w:val="24"/>
          <w:szCs w:val="24"/>
          <w:lang w:eastAsia="en-GB"/>
        </w:rPr>
        <w:t>Supplementary table 3:</w:t>
      </w:r>
      <w:r>
        <w:rPr>
          <w:rFonts w:eastAsia="Times New Roman" w:cstheme="minorHAnsi"/>
          <w:sz w:val="24"/>
          <w:szCs w:val="24"/>
          <w:lang w:eastAsia="en-GB"/>
        </w:rPr>
        <w:t xml:space="preserve"> </w:t>
      </w:r>
      <w:r>
        <w:rPr>
          <w:rFonts w:cstheme="minorHAnsi"/>
          <w:sz w:val="24"/>
          <w:szCs w:val="24"/>
          <w:lang w:val="en-US"/>
        </w:rPr>
        <w:t xml:space="preserve"> Data extraction of included studies investigating the CD163, CD68 and PD-L1 in OSCC patients</w:t>
      </w:r>
    </w:p>
    <w:p w14:paraId="3CCB7ECB" w14:textId="77777777" w:rsidR="007D232B" w:rsidRDefault="007D232B" w:rsidP="00CF703B">
      <w:pPr>
        <w:spacing w:after="0" w:line="240" w:lineRule="auto"/>
        <w:rPr>
          <w:rFonts w:ascii="Calibri" w:hAnsi="Calibri" w:cs="Calibri"/>
          <w:sz w:val="24"/>
          <w:szCs w:val="24"/>
          <w:lang w:val="en-US"/>
        </w:rPr>
      </w:pPr>
    </w:p>
    <w:p w14:paraId="535FE022" w14:textId="77777777" w:rsidR="00CF703B" w:rsidRPr="007662D4" w:rsidRDefault="00CF703B" w:rsidP="00CF703B">
      <w:pPr>
        <w:spacing w:after="0" w:line="240" w:lineRule="auto"/>
        <w:rPr>
          <w:rFonts w:ascii="Calibri" w:hAnsi="Calibri" w:cs="Calibri"/>
          <w:sz w:val="24"/>
          <w:szCs w:val="24"/>
          <w:lang w:val="en-US"/>
        </w:rPr>
      </w:pPr>
    </w:p>
    <w:tbl>
      <w:tblPr>
        <w:tblW w:w="9637" w:type="dxa"/>
        <w:tblInd w:w="-57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072"/>
        <w:gridCol w:w="973"/>
        <w:gridCol w:w="1218"/>
        <w:gridCol w:w="944"/>
        <w:gridCol w:w="1354"/>
        <w:gridCol w:w="1895"/>
        <w:gridCol w:w="1181"/>
      </w:tblGrid>
      <w:tr w:rsidR="00CF703B" w:rsidRPr="00121611" w14:paraId="07D69442" w14:textId="77777777" w:rsidTr="00057638">
        <w:trPr>
          <w:trHeight w:val="395"/>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2649F3"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sz w:val="18"/>
                <w:szCs w:val="18"/>
                <w:lang w:val="it-IT" w:eastAsia="en-GB"/>
              </w:rPr>
              <w:t>Author/year</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EFC1B2"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sz w:val="18"/>
                <w:szCs w:val="18"/>
                <w:lang w:val="it-IT" w:eastAsia="en-GB"/>
              </w:rPr>
              <w:t>Biomarker</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E6C260"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sz w:val="18"/>
                <w:szCs w:val="18"/>
                <w:lang w:val="it-IT" w:eastAsia="en-GB"/>
              </w:rPr>
              <w:t>Follow-up (months)</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BBA855"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sz w:val="18"/>
                <w:szCs w:val="18"/>
                <w:lang w:val="it-IT" w:eastAsia="en-GB"/>
              </w:rPr>
              <w:t>Cut-off point</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3574FB"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sz w:val="18"/>
                <w:szCs w:val="18"/>
                <w:lang w:val="it-IT" w:eastAsia="en-GB"/>
              </w:rPr>
              <w:t>Univariate or multivariate analysis</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D5B28C"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sz w:val="18"/>
                <w:szCs w:val="18"/>
                <w:lang w:val="it-IT" w:eastAsia="en-GB"/>
              </w:rPr>
              <w:t>Overall Survival (HR</w:t>
            </w:r>
            <w:r>
              <w:rPr>
                <w:rFonts w:ascii="Calibri" w:eastAsia="Times New Roman" w:hAnsi="Calibri" w:cs="Calibri"/>
                <w:b/>
                <w:bCs/>
                <w:sz w:val="18"/>
                <w:szCs w:val="18"/>
                <w:lang w:val="it-IT" w:eastAsia="en-GB"/>
              </w:rPr>
              <w:t xml:space="preserve"> (Hazard ratio)</w:t>
            </w:r>
            <w:r w:rsidRPr="007336DD">
              <w:rPr>
                <w:rFonts w:ascii="Calibri" w:eastAsia="Times New Roman" w:hAnsi="Calibri" w:cs="Calibri"/>
                <w:b/>
                <w:bCs/>
                <w:sz w:val="18"/>
                <w:szCs w:val="18"/>
                <w:lang w:val="it-IT" w:eastAsia="en-GB"/>
              </w:rPr>
              <w:t>, 95% Cl)</w:t>
            </w:r>
          </w:p>
        </w:tc>
        <w:tc>
          <w:tcPr>
            <w:tcW w:w="1181" w:type="dxa"/>
            <w:tcBorders>
              <w:top w:val="single" w:sz="8" w:space="0" w:color="A3A3A3"/>
              <w:left w:val="single" w:sz="8" w:space="0" w:color="A3A3A3"/>
              <w:bottom w:val="single" w:sz="8" w:space="0" w:color="A3A3A3"/>
              <w:right w:val="single" w:sz="8" w:space="0" w:color="A3A3A3"/>
            </w:tcBorders>
          </w:tcPr>
          <w:p w14:paraId="522F9E3E" w14:textId="77777777" w:rsidR="00CF703B" w:rsidRPr="007336DD" w:rsidRDefault="00CF703B" w:rsidP="00057638">
            <w:pPr>
              <w:spacing w:after="0" w:line="240" w:lineRule="auto"/>
              <w:jc w:val="center"/>
              <w:rPr>
                <w:rFonts w:ascii="Calibri" w:eastAsia="Times New Roman" w:hAnsi="Calibri" w:cs="Calibri"/>
                <w:b/>
                <w:bCs/>
                <w:sz w:val="18"/>
                <w:szCs w:val="18"/>
                <w:lang w:val="it-IT" w:eastAsia="en-GB"/>
              </w:rPr>
            </w:pPr>
            <w:r>
              <w:rPr>
                <w:rFonts w:ascii="Calibri" w:eastAsia="Times New Roman" w:hAnsi="Calibri" w:cs="Calibri"/>
                <w:b/>
                <w:bCs/>
                <w:sz w:val="18"/>
                <w:szCs w:val="18"/>
                <w:lang w:val="it-IT" w:eastAsia="en-GB"/>
              </w:rPr>
              <w:t>P Value (</w:t>
            </w:r>
            <w:r w:rsidRPr="00F36ED8">
              <w:rPr>
                <w:rFonts w:ascii="Calibri" w:eastAsia="Times New Roman" w:hAnsi="Calibri" w:cs="Calibri"/>
                <w:b/>
                <w:bCs/>
                <w:i/>
                <w:iCs/>
                <w:sz w:val="18"/>
                <w:szCs w:val="18"/>
                <w:lang w:val="it-IT" w:eastAsia="en-GB"/>
              </w:rPr>
              <w:t>P</w:t>
            </w:r>
            <w:r>
              <w:rPr>
                <w:rFonts w:ascii="Calibri" w:eastAsia="Times New Roman" w:hAnsi="Calibri" w:cs="Calibri"/>
                <w:b/>
                <w:bCs/>
                <w:sz w:val="18"/>
                <w:szCs w:val="18"/>
                <w:lang w:val="it-IT" w:eastAsia="en-GB"/>
              </w:rPr>
              <w:t>)</w:t>
            </w:r>
          </w:p>
        </w:tc>
      </w:tr>
      <w:tr w:rsidR="00CF703B" w:rsidRPr="00121611" w14:paraId="2A7E9202" w14:textId="77777777" w:rsidTr="00057638">
        <w:trPr>
          <w:trHeight w:val="791"/>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025263"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Fujii et al., 2012</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1F7276"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CD163</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76F22F"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N/A</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35BC54"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Median, 1.6 HPF (</w:t>
            </w:r>
            <w:r w:rsidRPr="007336DD">
              <w:rPr>
                <w:rFonts w:ascii="Calibri" w:hAnsi="Calibri" w:cs="Calibri"/>
                <w:sz w:val="18"/>
                <w:szCs w:val="18"/>
              </w:rPr>
              <w:t>high pass filter</w:t>
            </w:r>
            <w:r>
              <w:rPr>
                <w:rFonts w:ascii="Calibri" w:hAnsi="Calibri" w:cs="Calibri"/>
                <w:sz w:val="18"/>
                <w:szCs w:val="18"/>
              </w:rPr>
              <w:t>)</w:t>
            </w:r>
            <w:r w:rsidRPr="007336DD">
              <w:rPr>
                <w:rFonts w:ascii="Calibri" w:eastAsia="Times New Roman" w:hAnsi="Calibri" w:cs="Calibri"/>
                <w:sz w:val="18"/>
                <w:szCs w:val="18"/>
                <w:lang w:eastAsia="en-GB"/>
              </w:rPr>
              <w:t xml:space="preserve"> (CD163)</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86D8C1"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Multivariate </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362FDE"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2.64, 1.02-6.80</w:t>
            </w:r>
          </w:p>
        </w:tc>
        <w:tc>
          <w:tcPr>
            <w:tcW w:w="1181" w:type="dxa"/>
            <w:tcBorders>
              <w:top w:val="single" w:sz="8" w:space="0" w:color="A3A3A3"/>
              <w:left w:val="single" w:sz="8" w:space="0" w:color="A3A3A3"/>
              <w:bottom w:val="single" w:sz="8" w:space="0" w:color="A3A3A3"/>
              <w:right w:val="single" w:sz="8" w:space="0" w:color="A3A3A3"/>
            </w:tcBorders>
          </w:tcPr>
          <w:p w14:paraId="7AD7239F"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0.045 </w:t>
            </w:r>
          </w:p>
        </w:tc>
      </w:tr>
      <w:tr w:rsidR="00CF703B" w:rsidRPr="00121611" w14:paraId="62EB9FAE" w14:textId="77777777" w:rsidTr="00057638">
        <w:trPr>
          <w:trHeight w:val="204"/>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B42B52"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Fujita et al., 2014</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EEC567"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CD163</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17C760"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N/A</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48883D"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Median </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9F683F"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Multivariate </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6F1BCB"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4.53, 0.75-27.36 (Estimated)</w:t>
            </w:r>
          </w:p>
        </w:tc>
        <w:tc>
          <w:tcPr>
            <w:tcW w:w="1181" w:type="dxa"/>
            <w:tcBorders>
              <w:top w:val="single" w:sz="8" w:space="0" w:color="A3A3A3"/>
              <w:left w:val="single" w:sz="8" w:space="0" w:color="A3A3A3"/>
              <w:bottom w:val="single" w:sz="8" w:space="0" w:color="A3A3A3"/>
              <w:right w:val="single" w:sz="8" w:space="0" w:color="A3A3A3"/>
            </w:tcBorders>
          </w:tcPr>
          <w:p w14:paraId="788A0B97"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0.006</w:t>
            </w:r>
          </w:p>
        </w:tc>
      </w:tr>
      <w:tr w:rsidR="00CF703B" w:rsidRPr="00121611" w14:paraId="05CCF2B8" w14:textId="77777777" w:rsidTr="00057638">
        <w:trPr>
          <w:trHeight w:val="190"/>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59D1EC"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Wang et al., 2014</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D6F9F1"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CD163</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3F56A9"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61.5 (Median)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EC6F82"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Median</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7E8719"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Multivariate </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119EC1"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3.56, 1.67-7.59 </w:t>
            </w:r>
          </w:p>
        </w:tc>
        <w:tc>
          <w:tcPr>
            <w:tcW w:w="1181" w:type="dxa"/>
            <w:tcBorders>
              <w:top w:val="single" w:sz="8" w:space="0" w:color="A3A3A3"/>
              <w:left w:val="single" w:sz="8" w:space="0" w:color="A3A3A3"/>
              <w:bottom w:val="single" w:sz="8" w:space="0" w:color="A3A3A3"/>
              <w:right w:val="single" w:sz="8" w:space="0" w:color="A3A3A3"/>
            </w:tcBorders>
          </w:tcPr>
          <w:p w14:paraId="1B040F55"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0.001 </w:t>
            </w:r>
          </w:p>
        </w:tc>
      </w:tr>
      <w:tr w:rsidR="00CF703B" w:rsidRPr="00121611" w14:paraId="05C18D37" w14:textId="77777777" w:rsidTr="00057638">
        <w:trPr>
          <w:trHeight w:val="395"/>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883139"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Matsuoka et al., 2015</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D509E8"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CD163</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E9FDF2"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N/A</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BFFFA3"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Median, 3.2 HPF (CD163)</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BED812"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Multivariate </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740BCB"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2.30, 0.65-8.10</w:t>
            </w:r>
          </w:p>
        </w:tc>
        <w:tc>
          <w:tcPr>
            <w:tcW w:w="1181" w:type="dxa"/>
            <w:tcBorders>
              <w:top w:val="single" w:sz="8" w:space="0" w:color="A3A3A3"/>
              <w:left w:val="single" w:sz="8" w:space="0" w:color="A3A3A3"/>
              <w:bottom w:val="single" w:sz="8" w:space="0" w:color="A3A3A3"/>
              <w:right w:val="single" w:sz="8" w:space="0" w:color="A3A3A3"/>
            </w:tcBorders>
          </w:tcPr>
          <w:p w14:paraId="69F5621B"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0.195</w:t>
            </w:r>
          </w:p>
        </w:tc>
      </w:tr>
      <w:tr w:rsidR="00CF703B" w:rsidRPr="00121611" w14:paraId="6258653A" w14:textId="77777777" w:rsidTr="00057638">
        <w:trPr>
          <w:trHeight w:val="791"/>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531D91"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Takahashi et al., 2017</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A2326C"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CD68, CD163</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751EB1"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30.5 (Median)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2754C0"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Median, 204</w:t>
            </w:r>
          </w:p>
          <w:p w14:paraId="40EB2BAE"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200 (CD68), 64 ± 55 (CD163)</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F79B90"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Univariate (CD68)</w:t>
            </w:r>
          </w:p>
          <w:p w14:paraId="6E17A59F"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Multivariate (CD163)</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39BB73"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1.11. 0.34-3.70</w:t>
            </w:r>
            <w:r w:rsidRPr="007336DD">
              <w:rPr>
                <w:rFonts w:ascii="Calibri" w:eastAsia="Times New Roman" w:hAnsi="Calibri" w:cs="Calibri"/>
                <w:sz w:val="18"/>
                <w:szCs w:val="18"/>
                <w:lang w:eastAsia="en-GB"/>
              </w:rPr>
              <w:t xml:space="preserve">  (CD163)</w:t>
            </w:r>
          </w:p>
          <w:p w14:paraId="6DD8F9D3"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2.33, 1.00-5.45 (CD68)</w:t>
            </w:r>
          </w:p>
        </w:tc>
        <w:tc>
          <w:tcPr>
            <w:tcW w:w="1181" w:type="dxa"/>
            <w:tcBorders>
              <w:top w:val="single" w:sz="8" w:space="0" w:color="A3A3A3"/>
              <w:left w:val="single" w:sz="8" w:space="0" w:color="A3A3A3"/>
              <w:bottom w:val="single" w:sz="8" w:space="0" w:color="A3A3A3"/>
              <w:right w:val="single" w:sz="8" w:space="0" w:color="A3A3A3"/>
            </w:tcBorders>
          </w:tcPr>
          <w:p w14:paraId="37F505B2" w14:textId="77777777" w:rsidR="00CF703B"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0.86 (CD163) </w:t>
            </w:r>
          </w:p>
          <w:p w14:paraId="4DE842D3"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0.10 (CD68) </w:t>
            </w:r>
          </w:p>
        </w:tc>
      </w:tr>
      <w:tr w:rsidR="00CF703B" w:rsidRPr="00121611" w14:paraId="26790AD2" w14:textId="77777777" w:rsidTr="00057638">
        <w:trPr>
          <w:trHeight w:val="190"/>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305455"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Ni et al., 2015</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204127"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CD68</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70742C"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N/A</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259154"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≥75% </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451916"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Univariate </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E0251A"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1.3</w:t>
            </w:r>
            <w:r>
              <w:rPr>
                <w:rFonts w:ascii="Calibri" w:eastAsia="Times New Roman" w:hAnsi="Calibri" w:cs="Calibri"/>
                <w:sz w:val="18"/>
                <w:szCs w:val="18"/>
                <w:lang w:eastAsia="en-GB"/>
              </w:rPr>
              <w:t>9</w:t>
            </w:r>
            <w:r w:rsidRPr="007336DD">
              <w:rPr>
                <w:rFonts w:ascii="Calibri" w:eastAsia="Times New Roman" w:hAnsi="Calibri" w:cs="Calibri"/>
                <w:sz w:val="18"/>
                <w:szCs w:val="18"/>
                <w:lang w:eastAsia="en-GB"/>
              </w:rPr>
              <w:t>, 0.28-6.89</w:t>
            </w:r>
          </w:p>
        </w:tc>
        <w:tc>
          <w:tcPr>
            <w:tcW w:w="1181" w:type="dxa"/>
            <w:tcBorders>
              <w:top w:val="single" w:sz="8" w:space="0" w:color="A3A3A3"/>
              <w:left w:val="single" w:sz="8" w:space="0" w:color="A3A3A3"/>
              <w:bottom w:val="single" w:sz="8" w:space="0" w:color="A3A3A3"/>
              <w:right w:val="single" w:sz="8" w:space="0" w:color="A3A3A3"/>
            </w:tcBorders>
          </w:tcPr>
          <w:p w14:paraId="40FC348E"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0.846</w:t>
            </w:r>
          </w:p>
        </w:tc>
      </w:tr>
      <w:tr w:rsidR="00CF703B" w:rsidRPr="00121611" w14:paraId="2CC0C76C" w14:textId="77777777" w:rsidTr="00057638">
        <w:trPr>
          <w:trHeight w:val="204"/>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A0EEF6"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Fang et al., 2017</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FC1096"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CD68</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150D55"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48 (Median)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AD2A41"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Mean</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3AD82E"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Multivariate</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842B04"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0.73, 0.43-1.31</w:t>
            </w:r>
          </w:p>
        </w:tc>
        <w:tc>
          <w:tcPr>
            <w:tcW w:w="1181" w:type="dxa"/>
            <w:tcBorders>
              <w:top w:val="single" w:sz="8" w:space="0" w:color="A3A3A3"/>
              <w:left w:val="single" w:sz="8" w:space="0" w:color="A3A3A3"/>
              <w:bottom w:val="single" w:sz="8" w:space="0" w:color="A3A3A3"/>
              <w:right w:val="single" w:sz="8" w:space="0" w:color="A3A3A3"/>
            </w:tcBorders>
          </w:tcPr>
          <w:p w14:paraId="2272E4D0"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0.293</w:t>
            </w:r>
          </w:p>
        </w:tc>
      </w:tr>
      <w:tr w:rsidR="00CF703B" w:rsidRPr="00121611" w14:paraId="226C8F8B" w14:textId="77777777" w:rsidTr="00057638">
        <w:trPr>
          <w:trHeight w:val="395"/>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AF3520"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Kikuchi et al., 202</w:t>
            </w:r>
            <w:r>
              <w:rPr>
                <w:rFonts w:ascii="Calibri" w:eastAsia="Times New Roman" w:hAnsi="Calibri" w:cs="Calibri"/>
                <w:b/>
                <w:bCs/>
                <w:i/>
                <w:iCs/>
                <w:sz w:val="18"/>
                <w:szCs w:val="18"/>
                <w:lang w:val="it-IT" w:eastAsia="en-GB"/>
              </w:rPr>
              <w:t>1</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9603FD"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CD68, PD-L1</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23C206"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40.8 (Median)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D7341A"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Median, </w:t>
            </w:r>
          </w:p>
          <w:p w14:paraId="64F68DB4"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≥1 and ≥20 </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A71E6F"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Univariate (CD68)</w:t>
            </w:r>
          </w:p>
          <w:p w14:paraId="634785AD"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Univariate (PD-L1)</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E039A1"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0.84, 0.31-2.26 (CD68)</w:t>
            </w:r>
          </w:p>
          <w:p w14:paraId="3A0FB207"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0.50, 0.18-1.39 (PD-L1)</w:t>
            </w:r>
          </w:p>
        </w:tc>
        <w:tc>
          <w:tcPr>
            <w:tcW w:w="1181" w:type="dxa"/>
            <w:tcBorders>
              <w:top w:val="single" w:sz="8" w:space="0" w:color="A3A3A3"/>
              <w:left w:val="single" w:sz="8" w:space="0" w:color="A3A3A3"/>
              <w:bottom w:val="single" w:sz="8" w:space="0" w:color="A3A3A3"/>
              <w:right w:val="single" w:sz="8" w:space="0" w:color="A3A3A3"/>
            </w:tcBorders>
          </w:tcPr>
          <w:p w14:paraId="072D7689" w14:textId="77777777" w:rsidR="00CF703B"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0.73 (CD68)</w:t>
            </w:r>
          </w:p>
          <w:p w14:paraId="76291DE3"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0.19 (PD-L1)</w:t>
            </w:r>
          </w:p>
        </w:tc>
      </w:tr>
      <w:tr w:rsidR="00CF703B" w:rsidRPr="00121611" w14:paraId="025D95EB" w14:textId="77777777" w:rsidTr="00057638">
        <w:trPr>
          <w:trHeight w:val="190"/>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CB878F"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Lin et al., 2015</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1C5E67"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PD-L1</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5E6D02"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45.6 (Mean)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88CC88"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N/A</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1B38FA"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Univariate</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6591CF"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1.21, 0.89-1.64</w:t>
            </w:r>
          </w:p>
        </w:tc>
        <w:tc>
          <w:tcPr>
            <w:tcW w:w="1181" w:type="dxa"/>
            <w:tcBorders>
              <w:top w:val="single" w:sz="8" w:space="0" w:color="A3A3A3"/>
              <w:left w:val="single" w:sz="8" w:space="0" w:color="A3A3A3"/>
              <w:bottom w:val="single" w:sz="8" w:space="0" w:color="A3A3A3"/>
              <w:right w:val="single" w:sz="8" w:space="0" w:color="A3A3A3"/>
            </w:tcBorders>
          </w:tcPr>
          <w:p w14:paraId="39977483"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0.225</w:t>
            </w:r>
          </w:p>
        </w:tc>
      </w:tr>
      <w:tr w:rsidR="00CF703B" w:rsidRPr="00121611" w14:paraId="688D2480" w14:textId="77777777" w:rsidTr="00057638">
        <w:trPr>
          <w:trHeight w:val="190"/>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4D010E"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Kogashiwa et al., 2017</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2E6821"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PD-L1</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5D95FF"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40.6 (Mean)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5059EF"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Mean</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97213B"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Multivariate </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E2B47E"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0.26, 0.10-0.65</w:t>
            </w:r>
          </w:p>
        </w:tc>
        <w:tc>
          <w:tcPr>
            <w:tcW w:w="1181" w:type="dxa"/>
            <w:tcBorders>
              <w:top w:val="single" w:sz="8" w:space="0" w:color="A3A3A3"/>
              <w:left w:val="single" w:sz="8" w:space="0" w:color="A3A3A3"/>
              <w:bottom w:val="single" w:sz="8" w:space="0" w:color="A3A3A3"/>
              <w:right w:val="single" w:sz="8" w:space="0" w:color="A3A3A3"/>
            </w:tcBorders>
          </w:tcPr>
          <w:p w14:paraId="69331A84"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0.008</w:t>
            </w:r>
          </w:p>
        </w:tc>
      </w:tr>
      <w:tr w:rsidR="00CF703B" w:rsidRPr="00121611" w14:paraId="553D15E6" w14:textId="77777777" w:rsidTr="00057638">
        <w:trPr>
          <w:trHeight w:val="204"/>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BE2795"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Ahn et al., 2017</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0133E0"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PD-L1</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3013C8"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44.3 (Mean)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73BFB6"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N/A</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8EA413"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Univariate</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394997"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0.32, 0.11-0.93</w:t>
            </w:r>
          </w:p>
        </w:tc>
        <w:tc>
          <w:tcPr>
            <w:tcW w:w="1181" w:type="dxa"/>
            <w:tcBorders>
              <w:top w:val="single" w:sz="8" w:space="0" w:color="A3A3A3"/>
              <w:left w:val="single" w:sz="8" w:space="0" w:color="A3A3A3"/>
              <w:bottom w:val="single" w:sz="8" w:space="0" w:color="A3A3A3"/>
              <w:right w:val="single" w:sz="8" w:space="0" w:color="A3A3A3"/>
            </w:tcBorders>
          </w:tcPr>
          <w:p w14:paraId="41C8F3C8"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0.039</w:t>
            </w:r>
          </w:p>
        </w:tc>
      </w:tr>
      <w:tr w:rsidR="00CF703B" w:rsidRPr="00121611" w14:paraId="43B6DF01" w14:textId="77777777" w:rsidTr="00057638">
        <w:trPr>
          <w:trHeight w:val="791"/>
        </w:trPr>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7DF505" w14:textId="77777777" w:rsidR="00CF703B" w:rsidRPr="007336DD" w:rsidRDefault="00CF703B" w:rsidP="00057638">
            <w:pPr>
              <w:spacing w:after="0" w:line="240" w:lineRule="auto"/>
              <w:jc w:val="center"/>
              <w:rPr>
                <w:rFonts w:ascii="Calibri" w:eastAsia="Times New Roman" w:hAnsi="Calibri" w:cs="Calibri"/>
                <w:sz w:val="18"/>
                <w:szCs w:val="18"/>
                <w:lang w:val="it-IT" w:eastAsia="en-GB"/>
              </w:rPr>
            </w:pPr>
            <w:r w:rsidRPr="007336DD">
              <w:rPr>
                <w:rFonts w:ascii="Calibri" w:eastAsia="Times New Roman" w:hAnsi="Calibri" w:cs="Calibri"/>
                <w:b/>
                <w:bCs/>
                <w:i/>
                <w:iCs/>
                <w:sz w:val="18"/>
                <w:szCs w:val="18"/>
                <w:lang w:val="it-IT" w:eastAsia="en-GB"/>
              </w:rPr>
              <w:t>Lenouvel et al., 202</w:t>
            </w:r>
            <w:r>
              <w:rPr>
                <w:rFonts w:ascii="Calibri" w:eastAsia="Times New Roman" w:hAnsi="Calibri" w:cs="Calibri"/>
                <w:b/>
                <w:bCs/>
                <w:i/>
                <w:iCs/>
                <w:sz w:val="18"/>
                <w:szCs w:val="18"/>
                <w:lang w:val="it-IT" w:eastAsia="en-GB"/>
              </w:rPr>
              <w:t>1</w:t>
            </w:r>
          </w:p>
        </w:tc>
        <w:tc>
          <w:tcPr>
            <w:tcW w:w="97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2D79D7"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PD-L1</w:t>
            </w:r>
          </w:p>
        </w:tc>
        <w:tc>
          <w:tcPr>
            <w:tcW w:w="12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A7E95A"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56 (Median)</w:t>
            </w:r>
          </w:p>
        </w:tc>
        <w:tc>
          <w:tcPr>
            <w:tcW w:w="9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AFD6AB"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5% TPS (tumour proportion score) </w:t>
            </w:r>
          </w:p>
        </w:tc>
        <w:tc>
          <w:tcPr>
            <w:tcW w:w="135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CB4812"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 xml:space="preserve">Univariate </w:t>
            </w:r>
          </w:p>
        </w:tc>
        <w:tc>
          <w:tcPr>
            <w:tcW w:w="18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98AE3D" w14:textId="77777777" w:rsidR="00CF703B" w:rsidRPr="007336DD" w:rsidRDefault="00CF703B" w:rsidP="00057638">
            <w:pPr>
              <w:spacing w:after="0" w:line="240" w:lineRule="auto"/>
              <w:rPr>
                <w:rFonts w:ascii="Calibri" w:eastAsia="Times New Roman" w:hAnsi="Calibri" w:cs="Calibri"/>
                <w:sz w:val="18"/>
                <w:szCs w:val="18"/>
                <w:lang w:eastAsia="en-GB"/>
              </w:rPr>
            </w:pPr>
            <w:r w:rsidRPr="007336DD">
              <w:rPr>
                <w:rFonts w:ascii="Calibri" w:eastAsia="Times New Roman" w:hAnsi="Calibri" w:cs="Calibri"/>
                <w:sz w:val="18"/>
                <w:szCs w:val="18"/>
                <w:lang w:eastAsia="en-GB"/>
              </w:rPr>
              <w:t>0.58, 0.14-2.45</w:t>
            </w:r>
          </w:p>
        </w:tc>
        <w:tc>
          <w:tcPr>
            <w:tcW w:w="1181" w:type="dxa"/>
            <w:tcBorders>
              <w:top w:val="single" w:sz="8" w:space="0" w:color="A3A3A3"/>
              <w:left w:val="single" w:sz="8" w:space="0" w:color="A3A3A3"/>
              <w:bottom w:val="single" w:sz="8" w:space="0" w:color="A3A3A3"/>
              <w:right w:val="single" w:sz="8" w:space="0" w:color="A3A3A3"/>
            </w:tcBorders>
          </w:tcPr>
          <w:p w14:paraId="36610984" w14:textId="77777777" w:rsidR="00CF703B" w:rsidRPr="007336DD" w:rsidRDefault="00CF703B" w:rsidP="00057638">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0.459</w:t>
            </w:r>
          </w:p>
        </w:tc>
      </w:tr>
    </w:tbl>
    <w:p w14:paraId="68722F2A" w14:textId="49F72E64" w:rsidR="00726044" w:rsidRDefault="00726044" w:rsidP="00147065">
      <w:pPr>
        <w:rPr>
          <w:rFonts w:ascii="Calibri" w:eastAsia="Times New Roman" w:hAnsi="Calibri" w:cs="Calibri"/>
          <w:b/>
          <w:sz w:val="28"/>
          <w:szCs w:val="28"/>
          <w:lang w:eastAsia="en-GB"/>
        </w:rPr>
      </w:pPr>
    </w:p>
    <w:p w14:paraId="2ABBA1D3" w14:textId="7B3BD9EA" w:rsidR="00726044" w:rsidRDefault="00726044" w:rsidP="00147065">
      <w:pPr>
        <w:rPr>
          <w:rFonts w:ascii="Calibri" w:eastAsia="Times New Roman" w:hAnsi="Calibri" w:cs="Calibri"/>
          <w:b/>
          <w:sz w:val="28"/>
          <w:szCs w:val="28"/>
          <w:lang w:eastAsia="en-GB"/>
        </w:rPr>
      </w:pPr>
    </w:p>
    <w:p w14:paraId="4223E40A" w14:textId="75F01B30" w:rsidR="00726044" w:rsidRDefault="00726044" w:rsidP="00147065">
      <w:pPr>
        <w:rPr>
          <w:rFonts w:ascii="Calibri" w:eastAsia="Times New Roman" w:hAnsi="Calibri" w:cs="Calibri"/>
          <w:b/>
          <w:sz w:val="28"/>
          <w:szCs w:val="28"/>
          <w:lang w:eastAsia="en-GB"/>
        </w:rPr>
      </w:pPr>
    </w:p>
    <w:p w14:paraId="174FEC30" w14:textId="7024A8B4" w:rsidR="00726044" w:rsidRDefault="00726044" w:rsidP="00147065">
      <w:pPr>
        <w:rPr>
          <w:rFonts w:ascii="Calibri" w:eastAsia="Times New Roman" w:hAnsi="Calibri" w:cs="Calibri"/>
          <w:b/>
          <w:sz w:val="28"/>
          <w:szCs w:val="28"/>
          <w:lang w:eastAsia="en-GB"/>
        </w:rPr>
      </w:pPr>
    </w:p>
    <w:p w14:paraId="4968F53B" w14:textId="5A94AB61" w:rsidR="00726044" w:rsidRDefault="00726044" w:rsidP="00147065">
      <w:pPr>
        <w:rPr>
          <w:rFonts w:ascii="Calibri" w:eastAsia="Times New Roman" w:hAnsi="Calibri" w:cs="Calibri"/>
          <w:b/>
          <w:sz w:val="28"/>
          <w:szCs w:val="28"/>
          <w:lang w:eastAsia="en-GB"/>
        </w:rPr>
      </w:pPr>
    </w:p>
    <w:p w14:paraId="147F8501" w14:textId="7B1E25E4" w:rsidR="00726044" w:rsidRDefault="00726044" w:rsidP="00147065">
      <w:pPr>
        <w:rPr>
          <w:rFonts w:ascii="Calibri" w:eastAsia="Times New Roman" w:hAnsi="Calibri" w:cs="Calibri"/>
          <w:b/>
          <w:sz w:val="28"/>
          <w:szCs w:val="28"/>
          <w:lang w:eastAsia="en-GB"/>
        </w:rPr>
      </w:pPr>
    </w:p>
    <w:p w14:paraId="3609F850" w14:textId="77777777" w:rsidR="00A90C98" w:rsidRDefault="00A90C98" w:rsidP="00147065">
      <w:pPr>
        <w:rPr>
          <w:rFonts w:ascii="Calibri" w:eastAsia="Times New Roman" w:hAnsi="Calibri" w:cs="Calibri"/>
          <w:b/>
          <w:sz w:val="28"/>
          <w:szCs w:val="28"/>
          <w:lang w:eastAsia="en-GB"/>
        </w:rPr>
      </w:pPr>
    </w:p>
    <w:p w14:paraId="0A844DB1" w14:textId="64A8AD37" w:rsidR="00726044" w:rsidRDefault="00726044" w:rsidP="00147065">
      <w:pPr>
        <w:rPr>
          <w:rFonts w:ascii="Calibri" w:eastAsia="Times New Roman" w:hAnsi="Calibri" w:cs="Calibri"/>
          <w:b/>
          <w:sz w:val="28"/>
          <w:szCs w:val="28"/>
          <w:lang w:eastAsia="en-GB"/>
        </w:rPr>
      </w:pPr>
      <w:r>
        <w:rPr>
          <w:rFonts w:ascii="Calibri" w:eastAsia="Times New Roman" w:hAnsi="Calibri" w:cs="Calibri"/>
          <w:b/>
          <w:sz w:val="28"/>
          <w:szCs w:val="28"/>
          <w:lang w:eastAsia="en-GB"/>
        </w:rPr>
        <w:lastRenderedPageBreak/>
        <w:t>Supplementary figure 1.</w:t>
      </w:r>
    </w:p>
    <w:p w14:paraId="018BCE34" w14:textId="6362377A" w:rsidR="00F5652A" w:rsidRDefault="00F5652A" w:rsidP="00147065">
      <w:pPr>
        <w:rPr>
          <w:rFonts w:ascii="Calibri" w:eastAsia="Times New Roman" w:hAnsi="Calibri" w:cs="Calibri"/>
          <w:b/>
          <w:sz w:val="28"/>
          <w:szCs w:val="28"/>
          <w:lang w:eastAsia="en-GB"/>
        </w:rPr>
      </w:pPr>
      <w:r w:rsidRPr="007D232B">
        <w:rPr>
          <w:rFonts w:ascii="Calibri" w:eastAsia="Times New Roman" w:hAnsi="Calibri" w:cs="Calibri"/>
          <w:b/>
          <w:noProof/>
          <w:sz w:val="28"/>
          <w:szCs w:val="28"/>
          <w:lang w:eastAsia="en-GB"/>
        </w:rPr>
        <w:drawing>
          <wp:anchor distT="0" distB="0" distL="114300" distR="114300" simplePos="0" relativeHeight="251681792" behindDoc="1" locked="0" layoutInCell="1" allowOverlap="1" wp14:anchorId="04959112" wp14:editId="6472429D">
            <wp:simplePos x="0" y="0"/>
            <wp:positionH relativeFrom="margin">
              <wp:align>left</wp:align>
            </wp:positionH>
            <wp:positionV relativeFrom="paragraph">
              <wp:posOffset>278130</wp:posOffset>
            </wp:positionV>
            <wp:extent cx="3806190" cy="2537460"/>
            <wp:effectExtent l="0" t="0" r="3810" b="0"/>
            <wp:wrapTight wrapText="bothSides">
              <wp:wrapPolygon edited="0">
                <wp:start x="0" y="0"/>
                <wp:lineTo x="0" y="21405"/>
                <wp:lineTo x="21514" y="21405"/>
                <wp:lineTo x="21514" y="0"/>
                <wp:lineTo x="0" y="0"/>
              </wp:wrapPolygon>
            </wp:wrapTight>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06190" cy="2537460"/>
                    </a:xfrm>
                    <a:prstGeom prst="rect">
                      <a:avLst/>
                    </a:prstGeom>
                  </pic:spPr>
                </pic:pic>
              </a:graphicData>
            </a:graphic>
            <wp14:sizeRelH relativeFrom="margin">
              <wp14:pctWidth>0</wp14:pctWidth>
            </wp14:sizeRelH>
            <wp14:sizeRelV relativeFrom="margin">
              <wp14:pctHeight>0</wp14:pctHeight>
            </wp14:sizeRelV>
          </wp:anchor>
        </w:drawing>
      </w:r>
      <w:r w:rsidR="00726044">
        <w:rPr>
          <w:rFonts w:ascii="Calibri" w:eastAsia="Times New Roman" w:hAnsi="Calibri" w:cs="Calibri"/>
          <w:b/>
          <w:sz w:val="28"/>
          <w:szCs w:val="28"/>
          <w:lang w:eastAsia="en-GB"/>
        </w:rPr>
        <w:t>a)</w:t>
      </w:r>
      <w:r w:rsidR="007D232B" w:rsidRPr="007D232B">
        <w:rPr>
          <w:rFonts w:ascii="Calibri" w:eastAsia="Times New Roman" w:hAnsi="Calibri" w:cs="Calibri"/>
          <w:b/>
          <w:sz w:val="28"/>
          <w:szCs w:val="28"/>
          <w:lang w:eastAsia="en-GB"/>
        </w:rPr>
        <w:t xml:space="preserve"> </w:t>
      </w:r>
    </w:p>
    <w:p w14:paraId="2786067B" w14:textId="77777777" w:rsidR="00726044" w:rsidRDefault="00726044" w:rsidP="00147065">
      <w:pPr>
        <w:rPr>
          <w:rFonts w:ascii="Calibri" w:eastAsia="Times New Roman" w:hAnsi="Calibri" w:cs="Calibri"/>
          <w:b/>
          <w:sz w:val="28"/>
          <w:szCs w:val="28"/>
          <w:lang w:eastAsia="en-GB"/>
        </w:rPr>
      </w:pPr>
    </w:p>
    <w:p w14:paraId="50A62AC1" w14:textId="77777777" w:rsidR="007D232B" w:rsidRPr="007D232B" w:rsidRDefault="007D232B" w:rsidP="00147065">
      <w:pPr>
        <w:rPr>
          <w:rFonts w:ascii="Calibri" w:eastAsia="Times New Roman" w:hAnsi="Calibri" w:cs="Calibri"/>
          <w:b/>
          <w:sz w:val="28"/>
          <w:szCs w:val="28"/>
          <w:lang w:eastAsia="en-GB"/>
        </w:rPr>
      </w:pPr>
    </w:p>
    <w:p w14:paraId="658AB151" w14:textId="69977784" w:rsidR="00F5652A" w:rsidRDefault="00F5652A" w:rsidP="00147065">
      <w:pPr>
        <w:rPr>
          <w:rFonts w:ascii="Calibri" w:eastAsia="Times New Roman" w:hAnsi="Calibri" w:cs="Calibri"/>
          <w:sz w:val="28"/>
          <w:szCs w:val="28"/>
          <w:lang w:eastAsia="en-GB"/>
        </w:rPr>
      </w:pPr>
    </w:p>
    <w:p w14:paraId="1B2FB90E" w14:textId="77777777" w:rsidR="00147065" w:rsidRDefault="00147065" w:rsidP="00147065">
      <w:pPr>
        <w:rPr>
          <w:rFonts w:ascii="Calibri" w:eastAsia="Times New Roman" w:hAnsi="Calibri" w:cs="Calibri"/>
          <w:sz w:val="28"/>
          <w:szCs w:val="28"/>
          <w:lang w:eastAsia="en-GB"/>
        </w:rPr>
      </w:pPr>
    </w:p>
    <w:p w14:paraId="1B040082" w14:textId="77777777" w:rsidR="00147065" w:rsidRDefault="00147065" w:rsidP="00147065">
      <w:pPr>
        <w:rPr>
          <w:rFonts w:ascii="Calibri" w:eastAsia="Times New Roman" w:hAnsi="Calibri" w:cs="Calibri"/>
          <w:sz w:val="28"/>
          <w:szCs w:val="28"/>
          <w:lang w:eastAsia="en-GB"/>
        </w:rPr>
      </w:pPr>
    </w:p>
    <w:p w14:paraId="4AEE0A2D" w14:textId="77777777" w:rsidR="00F5652A" w:rsidRDefault="00F5652A" w:rsidP="00147065">
      <w:pPr>
        <w:rPr>
          <w:rFonts w:ascii="Calibri" w:eastAsia="Times New Roman" w:hAnsi="Calibri" w:cs="Calibri"/>
          <w:sz w:val="28"/>
          <w:szCs w:val="28"/>
          <w:lang w:eastAsia="en-GB"/>
        </w:rPr>
      </w:pPr>
    </w:p>
    <w:p w14:paraId="6406DE37" w14:textId="77777777" w:rsidR="00F5652A" w:rsidRDefault="00F5652A" w:rsidP="00147065">
      <w:pPr>
        <w:rPr>
          <w:rFonts w:ascii="Calibri" w:eastAsia="Times New Roman" w:hAnsi="Calibri" w:cs="Calibri"/>
          <w:sz w:val="28"/>
          <w:szCs w:val="28"/>
          <w:lang w:eastAsia="en-GB"/>
        </w:rPr>
      </w:pPr>
    </w:p>
    <w:p w14:paraId="5624526D" w14:textId="77777777" w:rsidR="00F5652A" w:rsidRDefault="00F5652A" w:rsidP="00147065">
      <w:pPr>
        <w:rPr>
          <w:rFonts w:ascii="Calibri" w:eastAsia="Times New Roman" w:hAnsi="Calibri" w:cs="Calibri"/>
          <w:sz w:val="28"/>
          <w:szCs w:val="28"/>
          <w:lang w:eastAsia="en-GB"/>
        </w:rPr>
      </w:pPr>
    </w:p>
    <w:p w14:paraId="6CF935C0" w14:textId="77777777" w:rsidR="00F5652A" w:rsidRDefault="00F5652A" w:rsidP="00147065">
      <w:pPr>
        <w:rPr>
          <w:rFonts w:ascii="Calibri" w:eastAsia="Times New Roman" w:hAnsi="Calibri" w:cs="Calibri"/>
          <w:sz w:val="28"/>
          <w:szCs w:val="28"/>
          <w:lang w:eastAsia="en-GB"/>
        </w:rPr>
      </w:pPr>
    </w:p>
    <w:p w14:paraId="469178DE" w14:textId="357DFA09" w:rsidR="00F5652A" w:rsidRPr="00726044" w:rsidRDefault="00726044" w:rsidP="00147065">
      <w:pPr>
        <w:rPr>
          <w:rFonts w:ascii="Calibri" w:eastAsia="Times New Roman" w:hAnsi="Calibri" w:cs="Calibri"/>
          <w:b/>
          <w:sz w:val="28"/>
          <w:szCs w:val="28"/>
          <w:lang w:eastAsia="en-GB"/>
        </w:rPr>
      </w:pPr>
      <w:r w:rsidRPr="00726044">
        <w:rPr>
          <w:rFonts w:ascii="Calibri" w:eastAsia="Times New Roman" w:hAnsi="Calibri" w:cs="Calibri"/>
          <w:b/>
          <w:sz w:val="28"/>
          <w:szCs w:val="28"/>
          <w:lang w:eastAsia="en-GB"/>
        </w:rPr>
        <w:t>b)</w:t>
      </w:r>
    </w:p>
    <w:p w14:paraId="3C5EA562" w14:textId="5EED7FC8" w:rsidR="00F463CD" w:rsidRDefault="00434E90" w:rsidP="00147065">
      <w:pPr>
        <w:rPr>
          <w:rFonts w:ascii="Calibri" w:eastAsia="Times New Roman" w:hAnsi="Calibri" w:cs="Calibri"/>
          <w:sz w:val="24"/>
          <w:szCs w:val="24"/>
          <w:lang w:eastAsia="en-GB"/>
        </w:rPr>
      </w:pPr>
      <w:r w:rsidRPr="00434E90">
        <w:rPr>
          <w:rFonts w:ascii="Calibri" w:eastAsia="Times New Roman" w:hAnsi="Calibri" w:cs="Calibri"/>
          <w:noProof/>
          <w:sz w:val="24"/>
          <w:szCs w:val="24"/>
          <w:lang w:eastAsia="en-GB"/>
        </w:rPr>
        <w:drawing>
          <wp:anchor distT="0" distB="0" distL="114300" distR="114300" simplePos="0" relativeHeight="251682816" behindDoc="1" locked="0" layoutInCell="1" allowOverlap="1" wp14:anchorId="4EBB665F" wp14:editId="19205633">
            <wp:simplePos x="0" y="0"/>
            <wp:positionH relativeFrom="margin">
              <wp:align>left</wp:align>
            </wp:positionH>
            <wp:positionV relativeFrom="paragraph">
              <wp:posOffset>61595</wp:posOffset>
            </wp:positionV>
            <wp:extent cx="3794760" cy="2529840"/>
            <wp:effectExtent l="0" t="0" r="0" b="3810"/>
            <wp:wrapTight wrapText="bothSides">
              <wp:wrapPolygon edited="0">
                <wp:start x="0" y="0"/>
                <wp:lineTo x="0" y="21470"/>
                <wp:lineTo x="21470" y="21470"/>
                <wp:lineTo x="21470" y="0"/>
                <wp:lineTo x="0" y="0"/>
              </wp:wrapPolygon>
            </wp:wrapTight>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94760" cy="2529840"/>
                    </a:xfrm>
                    <a:prstGeom prst="rect">
                      <a:avLst/>
                    </a:prstGeom>
                  </pic:spPr>
                </pic:pic>
              </a:graphicData>
            </a:graphic>
            <wp14:sizeRelH relativeFrom="margin">
              <wp14:pctWidth>0</wp14:pctWidth>
            </wp14:sizeRelH>
            <wp14:sizeRelV relativeFrom="margin">
              <wp14:pctHeight>0</wp14:pctHeight>
            </wp14:sizeRelV>
          </wp:anchor>
        </w:drawing>
      </w:r>
    </w:p>
    <w:p w14:paraId="6C4FEA50" w14:textId="43FD10D2" w:rsidR="00F463CD" w:rsidRPr="008937DB" w:rsidRDefault="00F463CD" w:rsidP="00147065">
      <w:pPr>
        <w:rPr>
          <w:rFonts w:ascii="Calibri" w:eastAsia="Times New Roman" w:hAnsi="Calibri" w:cs="Calibri"/>
          <w:sz w:val="24"/>
          <w:szCs w:val="24"/>
          <w:lang w:eastAsia="en-GB"/>
        </w:rPr>
      </w:pPr>
    </w:p>
    <w:p w14:paraId="1F68C459" w14:textId="77777777" w:rsidR="008937DB" w:rsidRDefault="008937DB" w:rsidP="00147065">
      <w:pPr>
        <w:rPr>
          <w:rFonts w:ascii="Calibri" w:eastAsia="Times New Roman" w:hAnsi="Calibri" w:cs="Calibri"/>
          <w:sz w:val="28"/>
          <w:szCs w:val="28"/>
          <w:lang w:eastAsia="en-GB"/>
        </w:rPr>
      </w:pPr>
    </w:p>
    <w:p w14:paraId="28C7AF39" w14:textId="3C1724D9" w:rsidR="00F5652A" w:rsidRDefault="00F5652A" w:rsidP="00147065">
      <w:pPr>
        <w:rPr>
          <w:rFonts w:ascii="Calibri" w:eastAsia="Times New Roman" w:hAnsi="Calibri" w:cs="Calibri"/>
          <w:sz w:val="28"/>
          <w:szCs w:val="28"/>
          <w:lang w:eastAsia="en-GB"/>
        </w:rPr>
      </w:pPr>
    </w:p>
    <w:p w14:paraId="3AB2F26A" w14:textId="77777777" w:rsidR="00F5652A" w:rsidRDefault="00F5652A" w:rsidP="00147065">
      <w:pPr>
        <w:rPr>
          <w:rFonts w:ascii="Calibri" w:eastAsia="Times New Roman" w:hAnsi="Calibri" w:cs="Calibri"/>
          <w:sz w:val="24"/>
          <w:szCs w:val="24"/>
          <w:lang w:eastAsia="en-GB"/>
        </w:rPr>
      </w:pPr>
    </w:p>
    <w:p w14:paraId="23271E3A" w14:textId="77777777" w:rsidR="00434E90" w:rsidRDefault="00434E90" w:rsidP="00147065">
      <w:pPr>
        <w:rPr>
          <w:rFonts w:ascii="Calibri" w:eastAsia="Times New Roman" w:hAnsi="Calibri" w:cs="Calibri"/>
          <w:sz w:val="24"/>
          <w:szCs w:val="24"/>
          <w:lang w:eastAsia="en-GB"/>
        </w:rPr>
      </w:pPr>
    </w:p>
    <w:p w14:paraId="587C82B8" w14:textId="77777777" w:rsidR="00434E90" w:rsidRDefault="00434E90" w:rsidP="00147065">
      <w:pPr>
        <w:rPr>
          <w:rFonts w:ascii="Calibri" w:eastAsia="Times New Roman" w:hAnsi="Calibri" w:cs="Calibri"/>
          <w:sz w:val="24"/>
          <w:szCs w:val="24"/>
          <w:lang w:eastAsia="en-GB"/>
        </w:rPr>
      </w:pPr>
    </w:p>
    <w:p w14:paraId="5F159CAA" w14:textId="77777777" w:rsidR="00BA69BC" w:rsidRDefault="00BA69BC" w:rsidP="00147065">
      <w:pPr>
        <w:rPr>
          <w:rFonts w:ascii="Calibri" w:eastAsia="Times New Roman" w:hAnsi="Calibri" w:cs="Calibri"/>
          <w:sz w:val="24"/>
          <w:szCs w:val="24"/>
          <w:lang w:eastAsia="en-GB"/>
        </w:rPr>
      </w:pPr>
    </w:p>
    <w:p w14:paraId="1218D6EB" w14:textId="77777777" w:rsidR="00726044" w:rsidRDefault="00726044" w:rsidP="00147065">
      <w:pPr>
        <w:rPr>
          <w:rFonts w:ascii="Calibri" w:eastAsia="Times New Roman" w:hAnsi="Calibri" w:cs="Calibri"/>
          <w:sz w:val="24"/>
          <w:szCs w:val="24"/>
          <w:lang w:eastAsia="en-GB"/>
        </w:rPr>
      </w:pPr>
    </w:p>
    <w:p w14:paraId="4C2031E7" w14:textId="4B115FEB" w:rsidR="00726044" w:rsidRDefault="00726044" w:rsidP="00147065">
      <w:pPr>
        <w:rPr>
          <w:rFonts w:ascii="Calibri" w:eastAsia="Times New Roman" w:hAnsi="Calibri" w:cs="Calibri"/>
          <w:sz w:val="24"/>
          <w:szCs w:val="24"/>
          <w:lang w:eastAsia="en-GB"/>
        </w:rPr>
      </w:pPr>
    </w:p>
    <w:p w14:paraId="7499A032" w14:textId="44A39899" w:rsidR="00726044" w:rsidRDefault="00726044" w:rsidP="00147065">
      <w:pPr>
        <w:rPr>
          <w:rFonts w:ascii="Calibri" w:eastAsia="Times New Roman" w:hAnsi="Calibri" w:cs="Calibri"/>
          <w:sz w:val="24"/>
          <w:szCs w:val="24"/>
          <w:lang w:eastAsia="en-GB"/>
        </w:rPr>
      </w:pPr>
    </w:p>
    <w:p w14:paraId="5321F7ED" w14:textId="593130D6" w:rsidR="00726044" w:rsidRDefault="00726044" w:rsidP="00147065">
      <w:pPr>
        <w:rPr>
          <w:rFonts w:ascii="Calibri" w:eastAsia="Times New Roman" w:hAnsi="Calibri" w:cs="Calibri"/>
          <w:sz w:val="24"/>
          <w:szCs w:val="24"/>
          <w:lang w:eastAsia="en-GB"/>
        </w:rPr>
      </w:pPr>
    </w:p>
    <w:p w14:paraId="4F2B779B" w14:textId="5198446F" w:rsidR="00726044" w:rsidRDefault="00726044" w:rsidP="00147065">
      <w:pPr>
        <w:rPr>
          <w:rFonts w:ascii="Calibri" w:eastAsia="Times New Roman" w:hAnsi="Calibri" w:cs="Calibri"/>
          <w:sz w:val="24"/>
          <w:szCs w:val="24"/>
          <w:lang w:eastAsia="en-GB"/>
        </w:rPr>
      </w:pPr>
    </w:p>
    <w:p w14:paraId="598628F8" w14:textId="0ADE9959" w:rsidR="00726044" w:rsidRDefault="00726044" w:rsidP="00147065">
      <w:pPr>
        <w:rPr>
          <w:rFonts w:ascii="Calibri" w:eastAsia="Times New Roman" w:hAnsi="Calibri" w:cs="Calibri"/>
          <w:sz w:val="24"/>
          <w:szCs w:val="24"/>
          <w:lang w:eastAsia="en-GB"/>
        </w:rPr>
      </w:pPr>
    </w:p>
    <w:p w14:paraId="18ADAA59" w14:textId="596CE8F4" w:rsidR="00726044" w:rsidRDefault="00726044" w:rsidP="00147065">
      <w:pPr>
        <w:rPr>
          <w:rFonts w:ascii="Calibri" w:eastAsia="Times New Roman" w:hAnsi="Calibri" w:cs="Calibri"/>
          <w:sz w:val="24"/>
          <w:szCs w:val="24"/>
          <w:lang w:eastAsia="en-GB"/>
        </w:rPr>
      </w:pPr>
    </w:p>
    <w:p w14:paraId="4231C390" w14:textId="69BB6232" w:rsidR="00726044" w:rsidRDefault="00726044" w:rsidP="00147065">
      <w:pPr>
        <w:rPr>
          <w:rFonts w:ascii="Calibri" w:eastAsia="Times New Roman" w:hAnsi="Calibri" w:cs="Calibri"/>
          <w:sz w:val="24"/>
          <w:szCs w:val="24"/>
          <w:lang w:eastAsia="en-GB"/>
        </w:rPr>
      </w:pPr>
    </w:p>
    <w:p w14:paraId="54B30FC0" w14:textId="77777777" w:rsidR="00726044" w:rsidRDefault="00726044" w:rsidP="00147065">
      <w:pPr>
        <w:rPr>
          <w:rFonts w:ascii="Calibri" w:eastAsia="Times New Roman" w:hAnsi="Calibri" w:cs="Calibri"/>
          <w:sz w:val="24"/>
          <w:szCs w:val="24"/>
          <w:lang w:eastAsia="en-GB"/>
        </w:rPr>
      </w:pPr>
    </w:p>
    <w:p w14:paraId="7F8FCF51" w14:textId="5CA69F20" w:rsidR="00726044" w:rsidRPr="00726044" w:rsidRDefault="00726044" w:rsidP="00147065">
      <w:pPr>
        <w:rPr>
          <w:rFonts w:ascii="Calibri" w:eastAsia="Times New Roman" w:hAnsi="Calibri" w:cs="Calibri"/>
          <w:b/>
          <w:sz w:val="24"/>
          <w:szCs w:val="24"/>
          <w:lang w:eastAsia="en-GB"/>
        </w:rPr>
      </w:pPr>
      <w:r w:rsidRPr="00726044">
        <w:rPr>
          <w:rFonts w:ascii="Calibri" w:eastAsia="Times New Roman" w:hAnsi="Calibri" w:cs="Calibri"/>
          <w:b/>
          <w:sz w:val="24"/>
          <w:szCs w:val="24"/>
          <w:lang w:eastAsia="en-GB"/>
        </w:rPr>
        <w:t>c)</w:t>
      </w:r>
    </w:p>
    <w:p w14:paraId="7C388573" w14:textId="62876739" w:rsidR="00BA69BC" w:rsidRDefault="00F70F27" w:rsidP="00147065">
      <w:pPr>
        <w:rPr>
          <w:rFonts w:ascii="Calibri" w:eastAsia="Times New Roman" w:hAnsi="Calibri" w:cs="Calibri"/>
          <w:sz w:val="24"/>
          <w:szCs w:val="24"/>
          <w:lang w:eastAsia="en-GB"/>
        </w:rPr>
      </w:pPr>
      <w:r w:rsidRPr="00950DBC">
        <w:rPr>
          <w:rFonts w:ascii="Calibri" w:eastAsia="Times New Roman" w:hAnsi="Calibri" w:cs="Calibri"/>
          <w:noProof/>
          <w:sz w:val="24"/>
          <w:szCs w:val="24"/>
          <w:lang w:eastAsia="en-GB"/>
        </w:rPr>
        <w:drawing>
          <wp:anchor distT="0" distB="0" distL="114300" distR="114300" simplePos="0" relativeHeight="251683840" behindDoc="1" locked="0" layoutInCell="1" allowOverlap="1" wp14:anchorId="76D1DC2C" wp14:editId="03473F11">
            <wp:simplePos x="0" y="0"/>
            <wp:positionH relativeFrom="margin">
              <wp:posOffset>30480</wp:posOffset>
            </wp:positionH>
            <wp:positionV relativeFrom="paragraph">
              <wp:posOffset>120650</wp:posOffset>
            </wp:positionV>
            <wp:extent cx="3802380" cy="2534920"/>
            <wp:effectExtent l="0" t="0" r="7620" b="0"/>
            <wp:wrapTight wrapText="bothSides">
              <wp:wrapPolygon edited="0">
                <wp:start x="0" y="0"/>
                <wp:lineTo x="0" y="21427"/>
                <wp:lineTo x="21535" y="21427"/>
                <wp:lineTo x="21535" y="0"/>
                <wp:lineTo x="0" y="0"/>
              </wp:wrapPolygon>
            </wp:wrapTight>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802380" cy="2534920"/>
                    </a:xfrm>
                    <a:prstGeom prst="rect">
                      <a:avLst/>
                    </a:prstGeom>
                  </pic:spPr>
                </pic:pic>
              </a:graphicData>
            </a:graphic>
            <wp14:sizeRelH relativeFrom="margin">
              <wp14:pctWidth>0</wp14:pctWidth>
            </wp14:sizeRelH>
            <wp14:sizeRelV relativeFrom="margin">
              <wp14:pctHeight>0</wp14:pctHeight>
            </wp14:sizeRelV>
          </wp:anchor>
        </w:drawing>
      </w:r>
    </w:p>
    <w:p w14:paraId="70C05CA6" w14:textId="77777777" w:rsidR="00BA69BC" w:rsidRDefault="00BA69BC" w:rsidP="00147065">
      <w:pPr>
        <w:rPr>
          <w:rFonts w:ascii="Calibri" w:eastAsia="Times New Roman" w:hAnsi="Calibri" w:cs="Calibri"/>
          <w:sz w:val="24"/>
          <w:szCs w:val="24"/>
          <w:lang w:eastAsia="en-GB"/>
        </w:rPr>
      </w:pPr>
    </w:p>
    <w:p w14:paraId="42CCAEF1" w14:textId="77777777" w:rsidR="00BA69BC" w:rsidRDefault="00BA69BC" w:rsidP="00147065">
      <w:pPr>
        <w:rPr>
          <w:rFonts w:ascii="Calibri" w:eastAsia="Times New Roman" w:hAnsi="Calibri" w:cs="Calibri"/>
          <w:sz w:val="24"/>
          <w:szCs w:val="24"/>
          <w:lang w:eastAsia="en-GB"/>
        </w:rPr>
      </w:pPr>
    </w:p>
    <w:p w14:paraId="20BA5283" w14:textId="77777777" w:rsidR="00BA69BC" w:rsidRDefault="00BA69BC" w:rsidP="00147065">
      <w:pPr>
        <w:rPr>
          <w:rFonts w:ascii="Calibri" w:eastAsia="Times New Roman" w:hAnsi="Calibri" w:cs="Calibri"/>
          <w:sz w:val="24"/>
          <w:szCs w:val="24"/>
          <w:lang w:eastAsia="en-GB"/>
        </w:rPr>
      </w:pPr>
    </w:p>
    <w:p w14:paraId="34685C82" w14:textId="77777777" w:rsidR="00BA69BC" w:rsidRDefault="00BA69BC" w:rsidP="00147065">
      <w:pPr>
        <w:rPr>
          <w:rFonts w:ascii="Calibri" w:eastAsia="Times New Roman" w:hAnsi="Calibri" w:cs="Calibri"/>
          <w:sz w:val="24"/>
          <w:szCs w:val="24"/>
          <w:lang w:eastAsia="en-GB"/>
        </w:rPr>
      </w:pPr>
    </w:p>
    <w:p w14:paraId="172627EA" w14:textId="77777777" w:rsidR="00BA69BC" w:rsidRDefault="00BA69BC" w:rsidP="00147065">
      <w:pPr>
        <w:rPr>
          <w:rFonts w:ascii="Calibri" w:eastAsia="Times New Roman" w:hAnsi="Calibri" w:cs="Calibri"/>
          <w:sz w:val="24"/>
          <w:szCs w:val="24"/>
          <w:lang w:eastAsia="en-GB"/>
        </w:rPr>
      </w:pPr>
    </w:p>
    <w:p w14:paraId="0262A475" w14:textId="77777777" w:rsidR="00BA69BC" w:rsidRDefault="00BA69BC" w:rsidP="00147065">
      <w:pPr>
        <w:rPr>
          <w:rFonts w:ascii="Calibri" w:eastAsia="Times New Roman" w:hAnsi="Calibri" w:cs="Calibri"/>
          <w:sz w:val="24"/>
          <w:szCs w:val="24"/>
          <w:lang w:eastAsia="en-GB"/>
        </w:rPr>
      </w:pPr>
    </w:p>
    <w:p w14:paraId="7FE9C831" w14:textId="77777777" w:rsidR="00BA69BC" w:rsidRDefault="00BA69BC" w:rsidP="00147065">
      <w:pPr>
        <w:rPr>
          <w:rFonts w:ascii="Calibri" w:eastAsia="Times New Roman" w:hAnsi="Calibri" w:cs="Calibri"/>
          <w:sz w:val="24"/>
          <w:szCs w:val="24"/>
          <w:lang w:eastAsia="en-GB"/>
        </w:rPr>
      </w:pPr>
    </w:p>
    <w:p w14:paraId="48199E1A" w14:textId="77777777" w:rsidR="00BA69BC" w:rsidRDefault="00BA69BC" w:rsidP="00147065">
      <w:pPr>
        <w:rPr>
          <w:rFonts w:ascii="Calibri" w:eastAsia="Times New Roman" w:hAnsi="Calibri" w:cs="Calibri"/>
          <w:sz w:val="24"/>
          <w:szCs w:val="24"/>
          <w:lang w:eastAsia="en-GB"/>
        </w:rPr>
      </w:pPr>
    </w:p>
    <w:p w14:paraId="769C7C76" w14:textId="77777777" w:rsidR="00726044" w:rsidRDefault="00726044" w:rsidP="00502927">
      <w:pPr>
        <w:rPr>
          <w:rFonts w:ascii="Calibri" w:eastAsia="Times New Roman" w:hAnsi="Calibri" w:cs="Calibri"/>
          <w:b/>
          <w:bCs/>
          <w:sz w:val="24"/>
          <w:szCs w:val="24"/>
          <w:lang w:eastAsia="en-GB"/>
        </w:rPr>
      </w:pPr>
    </w:p>
    <w:p w14:paraId="30226D14" w14:textId="52A04672" w:rsidR="00726044" w:rsidRDefault="00726044" w:rsidP="00502927">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w:t>
      </w:r>
    </w:p>
    <w:p w14:paraId="1AFBE60C" w14:textId="6C5FBEAA" w:rsidR="00950DBC" w:rsidRDefault="00BA69BC" w:rsidP="00502927">
      <w:pPr>
        <w:rPr>
          <w:rFonts w:ascii="Calibri" w:eastAsia="Times New Roman" w:hAnsi="Calibri" w:cs="Calibri"/>
          <w:sz w:val="24"/>
          <w:szCs w:val="24"/>
          <w:lang w:eastAsia="en-GB"/>
        </w:rPr>
      </w:pPr>
      <w:r w:rsidRPr="00950DBC">
        <w:rPr>
          <w:rFonts w:ascii="Calibri" w:eastAsia="Times New Roman" w:hAnsi="Calibri" w:cs="Calibri"/>
          <w:noProof/>
          <w:sz w:val="24"/>
          <w:szCs w:val="24"/>
          <w:lang w:eastAsia="en-GB"/>
        </w:rPr>
        <w:drawing>
          <wp:anchor distT="0" distB="0" distL="114300" distR="114300" simplePos="0" relativeHeight="251684864" behindDoc="1" locked="0" layoutInCell="1" allowOverlap="1" wp14:anchorId="2532EDFD" wp14:editId="4FF2EC09">
            <wp:simplePos x="0" y="0"/>
            <wp:positionH relativeFrom="margin">
              <wp:align>left</wp:align>
            </wp:positionH>
            <wp:positionV relativeFrom="paragraph">
              <wp:posOffset>3810</wp:posOffset>
            </wp:positionV>
            <wp:extent cx="3863340" cy="2755265"/>
            <wp:effectExtent l="0" t="0" r="3810" b="6985"/>
            <wp:wrapTight wrapText="bothSides">
              <wp:wrapPolygon edited="0">
                <wp:start x="0" y="0"/>
                <wp:lineTo x="0" y="21505"/>
                <wp:lineTo x="21515" y="21505"/>
                <wp:lineTo x="21515" y="0"/>
                <wp:lineTo x="0" y="0"/>
              </wp:wrapPolygon>
            </wp:wrapTight>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63340" cy="2755265"/>
                    </a:xfrm>
                    <a:prstGeom prst="rect">
                      <a:avLst/>
                    </a:prstGeom>
                  </pic:spPr>
                </pic:pic>
              </a:graphicData>
            </a:graphic>
            <wp14:sizeRelH relativeFrom="margin">
              <wp14:pctWidth>0</wp14:pctWidth>
            </wp14:sizeRelH>
            <wp14:sizeRelV relativeFrom="margin">
              <wp14:pctHeight>0</wp14:pctHeight>
            </wp14:sizeRelV>
          </wp:anchor>
        </w:drawing>
      </w:r>
    </w:p>
    <w:p w14:paraId="57F4E705" w14:textId="67D1BE09" w:rsidR="00950DBC" w:rsidRDefault="00950DBC" w:rsidP="00502927">
      <w:pPr>
        <w:rPr>
          <w:rFonts w:ascii="Calibri" w:eastAsia="Times New Roman" w:hAnsi="Calibri" w:cs="Calibri"/>
          <w:sz w:val="24"/>
          <w:szCs w:val="24"/>
          <w:lang w:eastAsia="en-GB"/>
        </w:rPr>
      </w:pPr>
    </w:p>
    <w:p w14:paraId="29760028" w14:textId="0485CCC7" w:rsidR="00950DBC" w:rsidRDefault="00950DBC" w:rsidP="00502927">
      <w:pPr>
        <w:rPr>
          <w:rFonts w:ascii="Calibri" w:eastAsia="Times New Roman" w:hAnsi="Calibri" w:cs="Calibri"/>
          <w:sz w:val="24"/>
          <w:szCs w:val="24"/>
          <w:lang w:eastAsia="en-GB"/>
        </w:rPr>
      </w:pPr>
    </w:p>
    <w:p w14:paraId="58B71EC2" w14:textId="0423CBCD" w:rsidR="007965E4" w:rsidRPr="007965E4" w:rsidRDefault="007965E4" w:rsidP="007965E4">
      <w:pPr>
        <w:rPr>
          <w:rFonts w:ascii="Calibri" w:eastAsia="Times New Roman" w:hAnsi="Calibri" w:cs="Calibri"/>
          <w:sz w:val="24"/>
          <w:szCs w:val="24"/>
          <w:lang w:eastAsia="en-GB"/>
        </w:rPr>
      </w:pPr>
    </w:p>
    <w:p w14:paraId="6C4E2A59" w14:textId="0DBB7EFD" w:rsidR="007965E4" w:rsidRDefault="007965E4" w:rsidP="007965E4">
      <w:pPr>
        <w:rPr>
          <w:rFonts w:ascii="Calibri" w:eastAsia="Times New Roman" w:hAnsi="Calibri" w:cs="Calibri"/>
          <w:sz w:val="24"/>
          <w:szCs w:val="24"/>
          <w:lang w:eastAsia="en-GB"/>
        </w:rPr>
      </w:pPr>
    </w:p>
    <w:p w14:paraId="6D035DB0" w14:textId="352E2877" w:rsidR="007965E4" w:rsidRDefault="007965E4" w:rsidP="007965E4">
      <w:pPr>
        <w:rPr>
          <w:rFonts w:ascii="Calibri" w:eastAsia="Times New Roman" w:hAnsi="Calibri" w:cs="Calibri"/>
          <w:sz w:val="24"/>
          <w:szCs w:val="24"/>
          <w:lang w:eastAsia="en-GB"/>
        </w:rPr>
      </w:pPr>
    </w:p>
    <w:p w14:paraId="46D33D10" w14:textId="30DA74DE" w:rsidR="007965E4" w:rsidRDefault="007965E4" w:rsidP="007965E4">
      <w:pPr>
        <w:rPr>
          <w:rFonts w:ascii="Calibri" w:eastAsia="Times New Roman" w:hAnsi="Calibri" w:cs="Calibri"/>
          <w:sz w:val="24"/>
          <w:szCs w:val="24"/>
          <w:lang w:eastAsia="en-GB"/>
        </w:rPr>
      </w:pPr>
    </w:p>
    <w:p w14:paraId="47C22B42" w14:textId="7F026F2B" w:rsidR="007965E4" w:rsidRDefault="007965E4" w:rsidP="007965E4">
      <w:pPr>
        <w:rPr>
          <w:rFonts w:ascii="Calibri" w:eastAsia="Times New Roman" w:hAnsi="Calibri" w:cs="Calibri"/>
          <w:sz w:val="24"/>
          <w:szCs w:val="24"/>
          <w:lang w:eastAsia="en-GB"/>
        </w:rPr>
      </w:pPr>
    </w:p>
    <w:p w14:paraId="0D3E6B04" w14:textId="3555E5AB" w:rsidR="007965E4" w:rsidRDefault="007965E4" w:rsidP="007965E4">
      <w:pPr>
        <w:rPr>
          <w:rFonts w:ascii="Calibri" w:eastAsia="Times New Roman" w:hAnsi="Calibri" w:cs="Calibri"/>
          <w:sz w:val="24"/>
          <w:szCs w:val="24"/>
          <w:lang w:eastAsia="en-GB"/>
        </w:rPr>
      </w:pPr>
    </w:p>
    <w:p w14:paraId="3B58A724" w14:textId="77777777" w:rsidR="00BA69BC" w:rsidRDefault="00BA69BC" w:rsidP="007965E4">
      <w:pPr>
        <w:rPr>
          <w:rFonts w:ascii="Calibri" w:eastAsia="Times New Roman" w:hAnsi="Calibri" w:cs="Calibri"/>
          <w:sz w:val="24"/>
          <w:szCs w:val="24"/>
          <w:lang w:eastAsia="en-GB"/>
        </w:rPr>
      </w:pPr>
    </w:p>
    <w:p w14:paraId="6A57B097" w14:textId="74700EB1" w:rsidR="00F70F27" w:rsidRDefault="00F70F27" w:rsidP="007965E4">
      <w:pPr>
        <w:rPr>
          <w:rFonts w:ascii="Calibri" w:eastAsia="Times New Roman" w:hAnsi="Calibri" w:cs="Calibri"/>
          <w:b/>
          <w:bCs/>
          <w:sz w:val="24"/>
          <w:szCs w:val="24"/>
          <w:lang w:eastAsia="en-GB"/>
        </w:rPr>
      </w:pPr>
    </w:p>
    <w:p w14:paraId="09F08342" w14:textId="6AE81E44" w:rsidR="00726044" w:rsidRDefault="00726044" w:rsidP="007965E4">
      <w:pPr>
        <w:rPr>
          <w:rFonts w:ascii="Calibri" w:eastAsia="Times New Roman" w:hAnsi="Calibri" w:cs="Calibri"/>
          <w:b/>
          <w:bCs/>
          <w:sz w:val="24"/>
          <w:szCs w:val="24"/>
          <w:lang w:eastAsia="en-GB"/>
        </w:rPr>
      </w:pPr>
    </w:p>
    <w:p w14:paraId="65DE05BF" w14:textId="118F51B9" w:rsidR="00726044" w:rsidRDefault="00726044" w:rsidP="007965E4">
      <w:pPr>
        <w:rPr>
          <w:rFonts w:ascii="Calibri" w:eastAsia="Times New Roman" w:hAnsi="Calibri" w:cs="Calibri"/>
          <w:b/>
          <w:bCs/>
          <w:sz w:val="24"/>
          <w:szCs w:val="24"/>
          <w:lang w:eastAsia="en-GB"/>
        </w:rPr>
      </w:pPr>
    </w:p>
    <w:p w14:paraId="423ED7CF" w14:textId="7FEA037A" w:rsidR="00726044" w:rsidRDefault="00726044" w:rsidP="007965E4">
      <w:pPr>
        <w:rPr>
          <w:rFonts w:ascii="Calibri" w:eastAsia="Times New Roman" w:hAnsi="Calibri" w:cs="Calibri"/>
          <w:b/>
          <w:bCs/>
          <w:sz w:val="24"/>
          <w:szCs w:val="24"/>
          <w:lang w:eastAsia="en-GB"/>
        </w:rPr>
      </w:pPr>
    </w:p>
    <w:p w14:paraId="4F945302" w14:textId="08415EF4" w:rsidR="00726044" w:rsidRDefault="00726044" w:rsidP="007965E4">
      <w:pPr>
        <w:rPr>
          <w:rFonts w:ascii="Calibri" w:eastAsia="Times New Roman" w:hAnsi="Calibri" w:cs="Calibri"/>
          <w:b/>
          <w:bCs/>
          <w:sz w:val="24"/>
          <w:szCs w:val="24"/>
          <w:lang w:eastAsia="en-GB"/>
        </w:rPr>
      </w:pPr>
    </w:p>
    <w:p w14:paraId="4EE46758" w14:textId="2B5D775B" w:rsidR="00726044" w:rsidRDefault="00726044" w:rsidP="007965E4">
      <w:pPr>
        <w:rPr>
          <w:rFonts w:ascii="Calibri" w:eastAsia="Times New Roman" w:hAnsi="Calibri" w:cs="Calibri"/>
          <w:b/>
          <w:bCs/>
          <w:sz w:val="24"/>
          <w:szCs w:val="24"/>
          <w:lang w:eastAsia="en-GB"/>
        </w:rPr>
      </w:pPr>
    </w:p>
    <w:p w14:paraId="3BB8B679" w14:textId="383D26AF" w:rsidR="00726044" w:rsidRDefault="00726044" w:rsidP="007965E4">
      <w:pPr>
        <w:rPr>
          <w:rFonts w:ascii="Calibri" w:eastAsia="Times New Roman" w:hAnsi="Calibri" w:cs="Calibri"/>
          <w:b/>
          <w:bCs/>
          <w:sz w:val="24"/>
          <w:szCs w:val="24"/>
          <w:lang w:eastAsia="en-GB"/>
        </w:rPr>
      </w:pPr>
    </w:p>
    <w:p w14:paraId="1D01E28A" w14:textId="35EFFF76" w:rsidR="00726044" w:rsidRDefault="00726044" w:rsidP="007965E4">
      <w:pPr>
        <w:rPr>
          <w:rFonts w:ascii="Calibri" w:eastAsia="Times New Roman" w:hAnsi="Calibri" w:cs="Calibri"/>
          <w:sz w:val="24"/>
          <w:szCs w:val="24"/>
          <w:lang w:eastAsia="en-GB"/>
        </w:rPr>
      </w:pPr>
      <w:r>
        <w:rPr>
          <w:rFonts w:ascii="Calibri" w:eastAsia="Times New Roman" w:hAnsi="Calibri" w:cs="Calibri"/>
          <w:b/>
          <w:bCs/>
          <w:sz w:val="24"/>
          <w:szCs w:val="24"/>
          <w:lang w:eastAsia="en-GB"/>
        </w:rPr>
        <w:t>e)</w:t>
      </w:r>
    </w:p>
    <w:p w14:paraId="19B3F04C" w14:textId="77D4DCBA" w:rsidR="00E57EA9" w:rsidRDefault="00BA69BC" w:rsidP="007965E4">
      <w:pPr>
        <w:rPr>
          <w:rFonts w:ascii="Calibri" w:eastAsia="Times New Roman" w:hAnsi="Calibri" w:cs="Calibri"/>
          <w:sz w:val="24"/>
          <w:szCs w:val="24"/>
          <w:lang w:eastAsia="en-GB"/>
        </w:rPr>
      </w:pPr>
      <w:r w:rsidRPr="00E57EA9">
        <w:rPr>
          <w:rFonts w:ascii="Calibri" w:eastAsia="Times New Roman" w:hAnsi="Calibri" w:cs="Calibri"/>
          <w:noProof/>
          <w:sz w:val="24"/>
          <w:szCs w:val="24"/>
          <w:lang w:eastAsia="en-GB"/>
        </w:rPr>
        <w:drawing>
          <wp:anchor distT="0" distB="0" distL="114300" distR="114300" simplePos="0" relativeHeight="251685888" behindDoc="1" locked="0" layoutInCell="1" allowOverlap="1" wp14:anchorId="27B82A7C" wp14:editId="3C24BD89">
            <wp:simplePos x="0" y="0"/>
            <wp:positionH relativeFrom="margin">
              <wp:align>left</wp:align>
            </wp:positionH>
            <wp:positionV relativeFrom="paragraph">
              <wp:posOffset>59055</wp:posOffset>
            </wp:positionV>
            <wp:extent cx="3909060" cy="2606040"/>
            <wp:effectExtent l="0" t="0" r="0" b="3810"/>
            <wp:wrapTight wrapText="bothSides">
              <wp:wrapPolygon edited="0">
                <wp:start x="0" y="0"/>
                <wp:lineTo x="0" y="21474"/>
                <wp:lineTo x="21474" y="21474"/>
                <wp:lineTo x="21474" y="0"/>
                <wp:lineTo x="0" y="0"/>
              </wp:wrapPolygon>
            </wp:wrapTight>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09060" cy="2606040"/>
                    </a:xfrm>
                    <a:prstGeom prst="rect">
                      <a:avLst/>
                    </a:prstGeom>
                  </pic:spPr>
                </pic:pic>
              </a:graphicData>
            </a:graphic>
            <wp14:sizeRelH relativeFrom="margin">
              <wp14:pctWidth>0</wp14:pctWidth>
            </wp14:sizeRelH>
            <wp14:sizeRelV relativeFrom="margin">
              <wp14:pctHeight>0</wp14:pctHeight>
            </wp14:sizeRelV>
          </wp:anchor>
        </w:drawing>
      </w:r>
    </w:p>
    <w:p w14:paraId="42A9D9C3" w14:textId="7C7FE864" w:rsidR="00E57EA9" w:rsidRDefault="00E57EA9" w:rsidP="007965E4">
      <w:pPr>
        <w:rPr>
          <w:rFonts w:ascii="Calibri" w:eastAsia="Times New Roman" w:hAnsi="Calibri" w:cs="Calibri"/>
          <w:sz w:val="24"/>
          <w:szCs w:val="24"/>
          <w:lang w:eastAsia="en-GB"/>
        </w:rPr>
      </w:pPr>
    </w:p>
    <w:p w14:paraId="5D273ECF" w14:textId="36365EC6" w:rsidR="00E57EA9" w:rsidRDefault="00E57EA9" w:rsidP="007965E4">
      <w:pPr>
        <w:rPr>
          <w:rFonts w:ascii="Calibri" w:eastAsia="Times New Roman" w:hAnsi="Calibri" w:cs="Calibri"/>
          <w:sz w:val="24"/>
          <w:szCs w:val="24"/>
          <w:lang w:eastAsia="en-GB"/>
        </w:rPr>
      </w:pPr>
    </w:p>
    <w:p w14:paraId="60540CC3" w14:textId="37A12FC5" w:rsidR="00E57EA9" w:rsidRDefault="00E57EA9" w:rsidP="007965E4">
      <w:pPr>
        <w:rPr>
          <w:rFonts w:ascii="Calibri" w:eastAsia="Times New Roman" w:hAnsi="Calibri" w:cs="Calibri"/>
          <w:sz w:val="24"/>
          <w:szCs w:val="24"/>
          <w:lang w:eastAsia="en-GB"/>
        </w:rPr>
      </w:pPr>
    </w:p>
    <w:p w14:paraId="5DEBB8BD" w14:textId="4C085C97" w:rsidR="00E57EA9" w:rsidRDefault="00E57EA9" w:rsidP="007965E4">
      <w:pPr>
        <w:rPr>
          <w:rFonts w:ascii="Calibri" w:eastAsia="Times New Roman" w:hAnsi="Calibri" w:cs="Calibri"/>
          <w:sz w:val="24"/>
          <w:szCs w:val="24"/>
          <w:lang w:eastAsia="en-GB"/>
        </w:rPr>
      </w:pPr>
    </w:p>
    <w:p w14:paraId="1D41A233" w14:textId="79F849AD" w:rsidR="00E57EA9" w:rsidRDefault="00E57EA9" w:rsidP="007965E4">
      <w:pPr>
        <w:rPr>
          <w:rFonts w:ascii="Calibri" w:eastAsia="Times New Roman" w:hAnsi="Calibri" w:cs="Calibri"/>
          <w:sz w:val="24"/>
          <w:szCs w:val="24"/>
          <w:lang w:eastAsia="en-GB"/>
        </w:rPr>
      </w:pPr>
    </w:p>
    <w:p w14:paraId="452F792B" w14:textId="49484242" w:rsidR="00E57EA9" w:rsidRDefault="00E57EA9" w:rsidP="007965E4">
      <w:pPr>
        <w:rPr>
          <w:rFonts w:ascii="Calibri" w:eastAsia="Times New Roman" w:hAnsi="Calibri" w:cs="Calibri"/>
          <w:sz w:val="24"/>
          <w:szCs w:val="24"/>
          <w:lang w:eastAsia="en-GB"/>
        </w:rPr>
      </w:pPr>
    </w:p>
    <w:p w14:paraId="7422BD6F" w14:textId="73CA34E5" w:rsidR="00E57EA9" w:rsidRDefault="00E57EA9" w:rsidP="007965E4">
      <w:pPr>
        <w:rPr>
          <w:rFonts w:ascii="Calibri" w:eastAsia="Times New Roman" w:hAnsi="Calibri" w:cs="Calibri"/>
          <w:sz w:val="24"/>
          <w:szCs w:val="24"/>
          <w:lang w:eastAsia="en-GB"/>
        </w:rPr>
      </w:pPr>
    </w:p>
    <w:p w14:paraId="4268DCAA" w14:textId="4BE639AD" w:rsidR="00E57EA9" w:rsidRDefault="00E57EA9" w:rsidP="007965E4">
      <w:pPr>
        <w:rPr>
          <w:rFonts w:ascii="Calibri" w:eastAsia="Times New Roman" w:hAnsi="Calibri" w:cs="Calibri"/>
          <w:sz w:val="24"/>
          <w:szCs w:val="24"/>
          <w:lang w:eastAsia="en-GB"/>
        </w:rPr>
      </w:pPr>
    </w:p>
    <w:p w14:paraId="52716DEA" w14:textId="77777777" w:rsidR="00726044" w:rsidRDefault="00726044" w:rsidP="00E57EA9">
      <w:pPr>
        <w:rPr>
          <w:rFonts w:ascii="Calibri" w:eastAsia="Times New Roman" w:hAnsi="Calibri" w:cs="Calibri"/>
          <w:sz w:val="24"/>
          <w:szCs w:val="24"/>
          <w:lang w:eastAsia="en-GB"/>
        </w:rPr>
      </w:pPr>
    </w:p>
    <w:p w14:paraId="52FCC3A4" w14:textId="463B9AC6" w:rsidR="00E57EA9" w:rsidRPr="00726044" w:rsidRDefault="00E57EA9" w:rsidP="00E57EA9">
      <w:pPr>
        <w:rPr>
          <w:rFonts w:ascii="Calibri" w:eastAsia="Times New Roman" w:hAnsi="Calibri" w:cs="Calibri"/>
          <w:b/>
          <w:sz w:val="24"/>
          <w:szCs w:val="24"/>
          <w:lang w:eastAsia="en-GB"/>
        </w:rPr>
      </w:pPr>
      <w:r w:rsidRPr="00726044">
        <w:rPr>
          <w:rFonts w:ascii="Calibri" w:eastAsia="Times New Roman" w:hAnsi="Calibri" w:cs="Calibri"/>
          <w:b/>
          <w:sz w:val="24"/>
          <w:szCs w:val="24"/>
          <w:lang w:eastAsia="en-GB"/>
        </w:rPr>
        <w:t xml:space="preserve">  </w:t>
      </w:r>
      <w:r w:rsidR="00726044" w:rsidRPr="00726044">
        <w:rPr>
          <w:rFonts w:ascii="Calibri" w:eastAsia="Times New Roman" w:hAnsi="Calibri" w:cs="Calibri"/>
          <w:b/>
          <w:sz w:val="24"/>
          <w:szCs w:val="24"/>
          <w:lang w:eastAsia="en-GB"/>
        </w:rPr>
        <w:t>f)</w:t>
      </w:r>
    </w:p>
    <w:p w14:paraId="5A3F8C78" w14:textId="135913A6" w:rsidR="00E57EA9" w:rsidRDefault="001A330E" w:rsidP="007965E4">
      <w:pPr>
        <w:rPr>
          <w:rFonts w:ascii="Calibri" w:eastAsia="Times New Roman" w:hAnsi="Calibri" w:cs="Calibri"/>
          <w:sz w:val="24"/>
          <w:szCs w:val="24"/>
          <w:lang w:eastAsia="en-GB"/>
        </w:rPr>
      </w:pPr>
      <w:r w:rsidRPr="001A330E">
        <w:rPr>
          <w:rFonts w:ascii="Calibri" w:eastAsia="Times New Roman" w:hAnsi="Calibri" w:cs="Calibri"/>
          <w:noProof/>
          <w:sz w:val="24"/>
          <w:szCs w:val="24"/>
          <w:lang w:eastAsia="en-GB"/>
        </w:rPr>
        <w:drawing>
          <wp:inline distT="0" distB="0" distL="0" distR="0" wp14:anchorId="26FB598D" wp14:editId="4A289E98">
            <wp:extent cx="3840480" cy="2739542"/>
            <wp:effectExtent l="0" t="0" r="7620" b="3810"/>
            <wp:docPr id="14" name="Picture 1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catter chart&#10;&#10;Description automatically generated"/>
                    <pic:cNvPicPr/>
                  </pic:nvPicPr>
                  <pic:blipFill>
                    <a:blip r:embed="rId16"/>
                    <a:stretch>
                      <a:fillRect/>
                    </a:stretch>
                  </pic:blipFill>
                  <pic:spPr>
                    <a:xfrm>
                      <a:off x="0" y="0"/>
                      <a:ext cx="3859347" cy="2753001"/>
                    </a:xfrm>
                    <a:prstGeom prst="rect">
                      <a:avLst/>
                    </a:prstGeom>
                  </pic:spPr>
                </pic:pic>
              </a:graphicData>
            </a:graphic>
          </wp:inline>
        </w:drawing>
      </w:r>
    </w:p>
    <w:p w14:paraId="2BF03BCF" w14:textId="78CB0C25" w:rsidR="004A574E" w:rsidRDefault="004A574E" w:rsidP="00A90C98">
      <w:pPr>
        <w:spacing w:line="480" w:lineRule="auto"/>
        <w:jc w:val="both"/>
        <w:rPr>
          <w:rFonts w:eastAsia="Times New Roman" w:cstheme="minorHAnsi"/>
          <w:sz w:val="24"/>
          <w:szCs w:val="24"/>
          <w:lang w:eastAsia="en-GB"/>
        </w:rPr>
        <w:sectPr w:rsidR="004A574E" w:rsidSect="004A574E">
          <w:type w:val="continuous"/>
          <w:pgSz w:w="11906" w:h="16838"/>
          <w:pgMar w:top="1440" w:right="1440" w:bottom="1440" w:left="1440" w:header="709" w:footer="709" w:gutter="0"/>
          <w:cols w:space="720"/>
        </w:sectPr>
      </w:pPr>
      <w:r>
        <w:rPr>
          <w:rFonts w:eastAsia="Times New Roman" w:cstheme="minorHAnsi"/>
          <w:b/>
          <w:bCs/>
          <w:sz w:val="24"/>
          <w:szCs w:val="24"/>
          <w:lang w:eastAsia="en-GB"/>
        </w:rPr>
        <w:t>Supplementary figure 1:</w:t>
      </w:r>
      <w:r>
        <w:rPr>
          <w:rFonts w:eastAsia="Times New Roman" w:cstheme="minorHAnsi"/>
          <w:sz w:val="24"/>
          <w:szCs w:val="24"/>
          <w:lang w:eastAsia="en-GB"/>
        </w:rPr>
        <w:t xml:space="preserve"> Funnel plot for studies in relation to OSCC prognosis, evaluating publication bias. Standard error of log hazard ratio (y axis) is plotted against its effect size (X axis); where a) CD163</w:t>
      </w:r>
      <w:r>
        <w:rPr>
          <w:rFonts w:eastAsia="Times New Roman" w:cstheme="minorHAnsi"/>
          <w:sz w:val="24"/>
          <w:szCs w:val="24"/>
          <w:vertAlign w:val="superscript"/>
          <w:lang w:eastAsia="en-GB"/>
        </w:rPr>
        <w:t>+</w:t>
      </w:r>
      <w:r>
        <w:rPr>
          <w:rFonts w:eastAsia="Times New Roman" w:cstheme="minorHAnsi"/>
          <w:sz w:val="24"/>
          <w:szCs w:val="24"/>
          <w:lang w:eastAsia="en-GB"/>
        </w:rPr>
        <w:t xml:space="preserve"> TAMs prognosis in OSCC, </w:t>
      </w:r>
      <w:r>
        <w:rPr>
          <w:rFonts w:eastAsia="Times New Roman" w:cstheme="minorHAnsi"/>
          <w:bCs/>
          <w:sz w:val="24"/>
          <w:szCs w:val="24"/>
          <w:lang w:eastAsia="en-GB"/>
        </w:rPr>
        <w:t>b)</w:t>
      </w:r>
      <w:r>
        <w:rPr>
          <w:rFonts w:eastAsia="Times New Roman" w:cstheme="minorHAnsi"/>
          <w:b/>
          <w:bCs/>
          <w:sz w:val="24"/>
          <w:szCs w:val="24"/>
          <w:lang w:eastAsia="en-GB"/>
        </w:rPr>
        <w:t xml:space="preserve"> </w:t>
      </w:r>
      <w:r>
        <w:rPr>
          <w:rFonts w:eastAsia="Times New Roman" w:cstheme="minorHAnsi"/>
          <w:sz w:val="24"/>
          <w:szCs w:val="24"/>
          <w:lang w:eastAsia="en-GB"/>
        </w:rPr>
        <w:t>stromal-located CD163</w:t>
      </w:r>
      <w:r>
        <w:rPr>
          <w:rFonts w:eastAsia="Times New Roman" w:cstheme="minorHAnsi"/>
          <w:sz w:val="24"/>
          <w:szCs w:val="24"/>
          <w:vertAlign w:val="superscript"/>
          <w:lang w:eastAsia="en-GB"/>
        </w:rPr>
        <w:t>+</w:t>
      </w:r>
      <w:r>
        <w:rPr>
          <w:rFonts w:eastAsia="Times New Roman" w:cstheme="minorHAnsi"/>
          <w:sz w:val="24"/>
          <w:szCs w:val="24"/>
          <w:lang w:eastAsia="en-GB"/>
        </w:rPr>
        <w:t xml:space="preserve"> TAMs prognosis in OSCC, </w:t>
      </w:r>
      <w:r>
        <w:rPr>
          <w:rFonts w:eastAsia="Times New Roman" w:cstheme="minorHAnsi"/>
          <w:bCs/>
          <w:sz w:val="24"/>
          <w:szCs w:val="24"/>
          <w:lang w:eastAsia="en-GB"/>
        </w:rPr>
        <w:t>c)</w:t>
      </w:r>
      <w:r>
        <w:rPr>
          <w:rFonts w:eastAsia="Times New Roman" w:cstheme="minorHAnsi"/>
          <w:b/>
          <w:bCs/>
          <w:sz w:val="24"/>
          <w:szCs w:val="24"/>
          <w:lang w:eastAsia="en-GB"/>
        </w:rPr>
        <w:t xml:space="preserve"> </w:t>
      </w:r>
      <w:r>
        <w:rPr>
          <w:rFonts w:eastAsia="Times New Roman" w:cstheme="minorHAnsi"/>
          <w:sz w:val="24"/>
          <w:szCs w:val="24"/>
          <w:lang w:eastAsia="en-GB"/>
        </w:rPr>
        <w:t>CD68</w:t>
      </w:r>
      <w:r>
        <w:rPr>
          <w:rFonts w:eastAsia="Times New Roman" w:cstheme="minorHAnsi"/>
          <w:sz w:val="24"/>
          <w:szCs w:val="24"/>
          <w:vertAlign w:val="superscript"/>
          <w:lang w:eastAsia="en-GB"/>
        </w:rPr>
        <w:t>+</w:t>
      </w:r>
      <w:r>
        <w:rPr>
          <w:rFonts w:eastAsia="Times New Roman" w:cstheme="minorHAnsi"/>
          <w:sz w:val="24"/>
          <w:szCs w:val="24"/>
          <w:lang w:eastAsia="en-GB"/>
        </w:rPr>
        <w:t xml:space="preserve"> TAMs prognosis in OSCC, d) stroma and intra-tumour localisation of CD68</w:t>
      </w:r>
      <w:r>
        <w:rPr>
          <w:rFonts w:eastAsia="Times New Roman" w:cstheme="minorHAnsi"/>
          <w:sz w:val="24"/>
          <w:szCs w:val="24"/>
          <w:vertAlign w:val="superscript"/>
          <w:lang w:eastAsia="en-GB"/>
        </w:rPr>
        <w:t>+</w:t>
      </w:r>
      <w:r>
        <w:rPr>
          <w:rFonts w:eastAsia="Times New Roman" w:cstheme="minorHAnsi"/>
          <w:sz w:val="24"/>
          <w:szCs w:val="24"/>
          <w:lang w:eastAsia="en-GB"/>
        </w:rPr>
        <w:t xml:space="preserve"> TAMs prognosis in OSCC, </w:t>
      </w:r>
      <w:r>
        <w:rPr>
          <w:rFonts w:eastAsia="Times New Roman" w:cstheme="minorHAnsi"/>
          <w:bCs/>
          <w:sz w:val="24"/>
          <w:szCs w:val="24"/>
          <w:lang w:eastAsia="en-GB"/>
        </w:rPr>
        <w:t>e)</w:t>
      </w:r>
      <w:r>
        <w:rPr>
          <w:rFonts w:eastAsia="Times New Roman" w:cstheme="minorHAnsi"/>
          <w:b/>
          <w:bCs/>
          <w:sz w:val="24"/>
          <w:szCs w:val="24"/>
          <w:lang w:eastAsia="en-GB"/>
        </w:rPr>
        <w:t xml:space="preserve"> </w:t>
      </w:r>
      <w:r>
        <w:rPr>
          <w:rFonts w:eastAsia="Times New Roman" w:cstheme="minorHAnsi"/>
          <w:sz w:val="24"/>
          <w:szCs w:val="24"/>
          <w:lang w:eastAsia="en-GB"/>
        </w:rPr>
        <w:t xml:space="preserve">PD-L1 prognosis in OSCC and </w:t>
      </w:r>
      <w:r>
        <w:rPr>
          <w:rFonts w:ascii="Calibri" w:eastAsia="Times New Roman" w:hAnsi="Calibri" w:cs="Calibri"/>
          <w:sz w:val="24"/>
          <w:szCs w:val="24"/>
          <w:lang w:eastAsia="en-GB"/>
        </w:rPr>
        <w:t>f) stroma and intra-tumour localisa</w:t>
      </w:r>
      <w:r w:rsidR="00A90C98">
        <w:rPr>
          <w:rFonts w:ascii="Calibri" w:eastAsia="Times New Roman" w:hAnsi="Calibri" w:cs="Calibri"/>
          <w:sz w:val="24"/>
          <w:szCs w:val="24"/>
          <w:lang w:eastAsia="en-GB"/>
        </w:rPr>
        <w:t>tion of PD-L1 prognosis in OSCC.</w:t>
      </w:r>
      <w:bookmarkStart w:id="0" w:name="_GoBack"/>
      <w:bookmarkEnd w:id="0"/>
    </w:p>
    <w:p w14:paraId="5B538665" w14:textId="77777777" w:rsidR="001A330E" w:rsidRPr="007965E4" w:rsidRDefault="001A330E" w:rsidP="007965E4">
      <w:pPr>
        <w:rPr>
          <w:rFonts w:ascii="Calibri" w:eastAsia="Times New Roman" w:hAnsi="Calibri" w:cs="Calibri"/>
          <w:sz w:val="24"/>
          <w:szCs w:val="24"/>
          <w:lang w:eastAsia="en-GB"/>
        </w:rPr>
      </w:pPr>
    </w:p>
    <w:sectPr w:rsidR="001A330E" w:rsidRPr="007965E4" w:rsidSect="00824FE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AFEFF" w14:textId="77777777" w:rsidR="00BC1374" w:rsidRDefault="00BC1374" w:rsidP="00CA3FE3">
      <w:pPr>
        <w:spacing w:after="0" w:line="240" w:lineRule="auto"/>
      </w:pPr>
      <w:r>
        <w:separator/>
      </w:r>
    </w:p>
  </w:endnote>
  <w:endnote w:type="continuationSeparator" w:id="0">
    <w:p w14:paraId="7044888F" w14:textId="77777777" w:rsidR="00BC1374" w:rsidRDefault="00BC1374" w:rsidP="00CA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5F418" w14:textId="77777777" w:rsidR="00BC1374" w:rsidRDefault="00BC1374" w:rsidP="00CA3FE3">
      <w:pPr>
        <w:spacing w:after="0" w:line="240" w:lineRule="auto"/>
      </w:pPr>
      <w:r>
        <w:separator/>
      </w:r>
    </w:p>
  </w:footnote>
  <w:footnote w:type="continuationSeparator" w:id="0">
    <w:p w14:paraId="3027E881" w14:textId="77777777" w:rsidR="00BC1374" w:rsidRDefault="00BC1374" w:rsidP="00CA3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D3E"/>
    <w:multiLevelType w:val="hybridMultilevel"/>
    <w:tmpl w:val="8744B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048C1"/>
    <w:multiLevelType w:val="hybridMultilevel"/>
    <w:tmpl w:val="25663DEC"/>
    <w:lvl w:ilvl="0" w:tplc="5C64DB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26E57"/>
    <w:multiLevelType w:val="multilevel"/>
    <w:tmpl w:val="B11AE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F7A26"/>
    <w:multiLevelType w:val="multilevel"/>
    <w:tmpl w:val="A030B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3"/>
    <w:rsid w:val="00002CDD"/>
    <w:rsid w:val="00004E9D"/>
    <w:rsid w:val="00030454"/>
    <w:rsid w:val="00036C8A"/>
    <w:rsid w:val="0004268E"/>
    <w:rsid w:val="00043B8C"/>
    <w:rsid w:val="0005238D"/>
    <w:rsid w:val="00057638"/>
    <w:rsid w:val="00065A20"/>
    <w:rsid w:val="0007767F"/>
    <w:rsid w:val="000903A6"/>
    <w:rsid w:val="0009731B"/>
    <w:rsid w:val="000A45BB"/>
    <w:rsid w:val="000B0DA1"/>
    <w:rsid w:val="000D20CB"/>
    <w:rsid w:val="000D6296"/>
    <w:rsid w:val="000E5033"/>
    <w:rsid w:val="000E5FB0"/>
    <w:rsid w:val="000E7DC8"/>
    <w:rsid w:val="0010319C"/>
    <w:rsid w:val="00114E31"/>
    <w:rsid w:val="00120EA5"/>
    <w:rsid w:val="00136385"/>
    <w:rsid w:val="00140DBC"/>
    <w:rsid w:val="00141941"/>
    <w:rsid w:val="0014307A"/>
    <w:rsid w:val="00147065"/>
    <w:rsid w:val="001534A4"/>
    <w:rsid w:val="001623F0"/>
    <w:rsid w:val="0016779F"/>
    <w:rsid w:val="00173228"/>
    <w:rsid w:val="00176CAA"/>
    <w:rsid w:val="00190714"/>
    <w:rsid w:val="0019607B"/>
    <w:rsid w:val="001A330E"/>
    <w:rsid w:val="001A5877"/>
    <w:rsid w:val="001B122D"/>
    <w:rsid w:val="001B51FD"/>
    <w:rsid w:val="001B62F0"/>
    <w:rsid w:val="001C21C2"/>
    <w:rsid w:val="001D120D"/>
    <w:rsid w:val="001D2519"/>
    <w:rsid w:val="001D350B"/>
    <w:rsid w:val="001D61A0"/>
    <w:rsid w:val="001E217C"/>
    <w:rsid w:val="001E6E7E"/>
    <w:rsid w:val="001E785C"/>
    <w:rsid w:val="001F41B3"/>
    <w:rsid w:val="001F7860"/>
    <w:rsid w:val="0020169A"/>
    <w:rsid w:val="002018C7"/>
    <w:rsid w:val="00202DAA"/>
    <w:rsid w:val="00205500"/>
    <w:rsid w:val="00205BF1"/>
    <w:rsid w:val="0023162C"/>
    <w:rsid w:val="0023316F"/>
    <w:rsid w:val="00240347"/>
    <w:rsid w:val="00246687"/>
    <w:rsid w:val="00263675"/>
    <w:rsid w:val="002645DD"/>
    <w:rsid w:val="00264EC3"/>
    <w:rsid w:val="00270128"/>
    <w:rsid w:val="00273845"/>
    <w:rsid w:val="0027710B"/>
    <w:rsid w:val="00277FCF"/>
    <w:rsid w:val="00282196"/>
    <w:rsid w:val="00293A26"/>
    <w:rsid w:val="00295099"/>
    <w:rsid w:val="002A08A3"/>
    <w:rsid w:val="002A4532"/>
    <w:rsid w:val="002A4D2F"/>
    <w:rsid w:val="002C26C4"/>
    <w:rsid w:val="002C30B1"/>
    <w:rsid w:val="002D466E"/>
    <w:rsid w:val="002D787B"/>
    <w:rsid w:val="002E1F88"/>
    <w:rsid w:val="002E40B0"/>
    <w:rsid w:val="002E5B4C"/>
    <w:rsid w:val="002E7E3C"/>
    <w:rsid w:val="002F75D4"/>
    <w:rsid w:val="003115B7"/>
    <w:rsid w:val="00314CCD"/>
    <w:rsid w:val="0032216F"/>
    <w:rsid w:val="00322DDA"/>
    <w:rsid w:val="00323AD0"/>
    <w:rsid w:val="003250C0"/>
    <w:rsid w:val="00325DE9"/>
    <w:rsid w:val="00330B01"/>
    <w:rsid w:val="0034443B"/>
    <w:rsid w:val="003446BF"/>
    <w:rsid w:val="00360AE0"/>
    <w:rsid w:val="0036719D"/>
    <w:rsid w:val="00367D63"/>
    <w:rsid w:val="00375DA5"/>
    <w:rsid w:val="003857D9"/>
    <w:rsid w:val="00387BB9"/>
    <w:rsid w:val="00390F8D"/>
    <w:rsid w:val="00392D6A"/>
    <w:rsid w:val="003A1910"/>
    <w:rsid w:val="003B4025"/>
    <w:rsid w:val="003C328F"/>
    <w:rsid w:val="003C62F9"/>
    <w:rsid w:val="003E3327"/>
    <w:rsid w:val="003E3946"/>
    <w:rsid w:val="003E4F4F"/>
    <w:rsid w:val="003E56CA"/>
    <w:rsid w:val="003F4762"/>
    <w:rsid w:val="0041711B"/>
    <w:rsid w:val="00420D27"/>
    <w:rsid w:val="00431F97"/>
    <w:rsid w:val="00434E90"/>
    <w:rsid w:val="00436B3B"/>
    <w:rsid w:val="004655C7"/>
    <w:rsid w:val="00471A3D"/>
    <w:rsid w:val="00475850"/>
    <w:rsid w:val="00481818"/>
    <w:rsid w:val="00486586"/>
    <w:rsid w:val="00490562"/>
    <w:rsid w:val="00495782"/>
    <w:rsid w:val="00497D90"/>
    <w:rsid w:val="004A5269"/>
    <w:rsid w:val="004A574E"/>
    <w:rsid w:val="004B1295"/>
    <w:rsid w:val="004B60C3"/>
    <w:rsid w:val="004C6250"/>
    <w:rsid w:val="004C75A7"/>
    <w:rsid w:val="004D0211"/>
    <w:rsid w:val="004E5F0B"/>
    <w:rsid w:val="004E737B"/>
    <w:rsid w:val="00502927"/>
    <w:rsid w:val="00516EB6"/>
    <w:rsid w:val="00527D94"/>
    <w:rsid w:val="0053265F"/>
    <w:rsid w:val="00543EA4"/>
    <w:rsid w:val="00545A06"/>
    <w:rsid w:val="00554FB4"/>
    <w:rsid w:val="00563685"/>
    <w:rsid w:val="00571113"/>
    <w:rsid w:val="0058040B"/>
    <w:rsid w:val="00582217"/>
    <w:rsid w:val="00582609"/>
    <w:rsid w:val="005855F9"/>
    <w:rsid w:val="005868AE"/>
    <w:rsid w:val="005912F3"/>
    <w:rsid w:val="005919E1"/>
    <w:rsid w:val="00593965"/>
    <w:rsid w:val="005B0DE6"/>
    <w:rsid w:val="005C7159"/>
    <w:rsid w:val="005D303A"/>
    <w:rsid w:val="005E4EBC"/>
    <w:rsid w:val="005E5F01"/>
    <w:rsid w:val="005F29B0"/>
    <w:rsid w:val="005F3957"/>
    <w:rsid w:val="005F7ED1"/>
    <w:rsid w:val="00601D09"/>
    <w:rsid w:val="0060733D"/>
    <w:rsid w:val="006117D2"/>
    <w:rsid w:val="00624968"/>
    <w:rsid w:val="006251D8"/>
    <w:rsid w:val="006327BE"/>
    <w:rsid w:val="00632BB7"/>
    <w:rsid w:val="00647C42"/>
    <w:rsid w:val="00653E7F"/>
    <w:rsid w:val="00674FB0"/>
    <w:rsid w:val="00680D9C"/>
    <w:rsid w:val="0068110A"/>
    <w:rsid w:val="00685413"/>
    <w:rsid w:val="006918E4"/>
    <w:rsid w:val="006A43A9"/>
    <w:rsid w:val="006A6C89"/>
    <w:rsid w:val="006B7897"/>
    <w:rsid w:val="006C5F33"/>
    <w:rsid w:val="006D2E7F"/>
    <w:rsid w:val="006D71DA"/>
    <w:rsid w:val="006F052F"/>
    <w:rsid w:val="006F4325"/>
    <w:rsid w:val="00702924"/>
    <w:rsid w:val="00720B68"/>
    <w:rsid w:val="00726044"/>
    <w:rsid w:val="00736831"/>
    <w:rsid w:val="0074237D"/>
    <w:rsid w:val="00742DDA"/>
    <w:rsid w:val="00747B96"/>
    <w:rsid w:val="00750489"/>
    <w:rsid w:val="0075251A"/>
    <w:rsid w:val="00752B47"/>
    <w:rsid w:val="007538E5"/>
    <w:rsid w:val="00754299"/>
    <w:rsid w:val="00765D69"/>
    <w:rsid w:val="007662D4"/>
    <w:rsid w:val="007679E4"/>
    <w:rsid w:val="00772D14"/>
    <w:rsid w:val="007823AE"/>
    <w:rsid w:val="00783B64"/>
    <w:rsid w:val="007907CF"/>
    <w:rsid w:val="00791955"/>
    <w:rsid w:val="007926E2"/>
    <w:rsid w:val="00795175"/>
    <w:rsid w:val="007965E4"/>
    <w:rsid w:val="007B2C01"/>
    <w:rsid w:val="007B5DF5"/>
    <w:rsid w:val="007C54C4"/>
    <w:rsid w:val="007D232B"/>
    <w:rsid w:val="007D5F12"/>
    <w:rsid w:val="007E3143"/>
    <w:rsid w:val="007F4BB7"/>
    <w:rsid w:val="007F5D57"/>
    <w:rsid w:val="007F7DC1"/>
    <w:rsid w:val="00806648"/>
    <w:rsid w:val="00806DA5"/>
    <w:rsid w:val="00813595"/>
    <w:rsid w:val="00814C16"/>
    <w:rsid w:val="0081708C"/>
    <w:rsid w:val="00824FE5"/>
    <w:rsid w:val="00825FF0"/>
    <w:rsid w:val="00841937"/>
    <w:rsid w:val="00842D59"/>
    <w:rsid w:val="00843884"/>
    <w:rsid w:val="00850AC2"/>
    <w:rsid w:val="0085134B"/>
    <w:rsid w:val="00855AC3"/>
    <w:rsid w:val="00856635"/>
    <w:rsid w:val="008660A4"/>
    <w:rsid w:val="008673D6"/>
    <w:rsid w:val="00872D4A"/>
    <w:rsid w:val="0088459D"/>
    <w:rsid w:val="00886411"/>
    <w:rsid w:val="008937DB"/>
    <w:rsid w:val="008A36E5"/>
    <w:rsid w:val="008A3F25"/>
    <w:rsid w:val="008A6F4F"/>
    <w:rsid w:val="008C5075"/>
    <w:rsid w:val="008C584B"/>
    <w:rsid w:val="008D0EC7"/>
    <w:rsid w:val="008D1A6E"/>
    <w:rsid w:val="008D6E93"/>
    <w:rsid w:val="008E40D1"/>
    <w:rsid w:val="008F1FAC"/>
    <w:rsid w:val="008F3A20"/>
    <w:rsid w:val="008F433C"/>
    <w:rsid w:val="008F510C"/>
    <w:rsid w:val="008F6F08"/>
    <w:rsid w:val="009060E7"/>
    <w:rsid w:val="00907042"/>
    <w:rsid w:val="00910AB3"/>
    <w:rsid w:val="00910D58"/>
    <w:rsid w:val="009113F0"/>
    <w:rsid w:val="00911CE9"/>
    <w:rsid w:val="0091293A"/>
    <w:rsid w:val="00927ADB"/>
    <w:rsid w:val="00932D16"/>
    <w:rsid w:val="009335DD"/>
    <w:rsid w:val="00942327"/>
    <w:rsid w:val="0094590A"/>
    <w:rsid w:val="00950DBC"/>
    <w:rsid w:val="00960361"/>
    <w:rsid w:val="00971D0C"/>
    <w:rsid w:val="00974F37"/>
    <w:rsid w:val="00980A96"/>
    <w:rsid w:val="009818B6"/>
    <w:rsid w:val="00996414"/>
    <w:rsid w:val="009A0404"/>
    <w:rsid w:val="009B210E"/>
    <w:rsid w:val="009B7977"/>
    <w:rsid w:val="009C0AE4"/>
    <w:rsid w:val="009E249B"/>
    <w:rsid w:val="009E276B"/>
    <w:rsid w:val="009F1498"/>
    <w:rsid w:val="009F4535"/>
    <w:rsid w:val="009F73E8"/>
    <w:rsid w:val="00A01BC1"/>
    <w:rsid w:val="00A03342"/>
    <w:rsid w:val="00A10D8C"/>
    <w:rsid w:val="00A16DC0"/>
    <w:rsid w:val="00A17DD2"/>
    <w:rsid w:val="00A23086"/>
    <w:rsid w:val="00A309D8"/>
    <w:rsid w:val="00A41C80"/>
    <w:rsid w:val="00A41E25"/>
    <w:rsid w:val="00A632DB"/>
    <w:rsid w:val="00A6615E"/>
    <w:rsid w:val="00A70456"/>
    <w:rsid w:val="00A717C1"/>
    <w:rsid w:val="00A80727"/>
    <w:rsid w:val="00A84D17"/>
    <w:rsid w:val="00A86F6F"/>
    <w:rsid w:val="00A90C98"/>
    <w:rsid w:val="00A92C93"/>
    <w:rsid w:val="00A95E20"/>
    <w:rsid w:val="00AA2581"/>
    <w:rsid w:val="00AA2F46"/>
    <w:rsid w:val="00AC1271"/>
    <w:rsid w:val="00AD0884"/>
    <w:rsid w:val="00AD2BD4"/>
    <w:rsid w:val="00AE083E"/>
    <w:rsid w:val="00AE1D74"/>
    <w:rsid w:val="00AE35E7"/>
    <w:rsid w:val="00AE3E2E"/>
    <w:rsid w:val="00AF6193"/>
    <w:rsid w:val="00B00FBE"/>
    <w:rsid w:val="00B06EEF"/>
    <w:rsid w:val="00B075D0"/>
    <w:rsid w:val="00B20D69"/>
    <w:rsid w:val="00B230BD"/>
    <w:rsid w:val="00B32184"/>
    <w:rsid w:val="00B431A3"/>
    <w:rsid w:val="00B512B6"/>
    <w:rsid w:val="00B576BE"/>
    <w:rsid w:val="00B95486"/>
    <w:rsid w:val="00BA66F6"/>
    <w:rsid w:val="00BA69BC"/>
    <w:rsid w:val="00BA7654"/>
    <w:rsid w:val="00BC1374"/>
    <w:rsid w:val="00BC1A17"/>
    <w:rsid w:val="00BC6848"/>
    <w:rsid w:val="00BD6446"/>
    <w:rsid w:val="00BE2C16"/>
    <w:rsid w:val="00BE32B3"/>
    <w:rsid w:val="00BE5C72"/>
    <w:rsid w:val="00BF0BA9"/>
    <w:rsid w:val="00BF6FFA"/>
    <w:rsid w:val="00C071D7"/>
    <w:rsid w:val="00C17541"/>
    <w:rsid w:val="00C350FD"/>
    <w:rsid w:val="00C3728D"/>
    <w:rsid w:val="00C414E4"/>
    <w:rsid w:val="00C44F88"/>
    <w:rsid w:val="00C5386A"/>
    <w:rsid w:val="00C53DE3"/>
    <w:rsid w:val="00C60826"/>
    <w:rsid w:val="00C63B7C"/>
    <w:rsid w:val="00C65975"/>
    <w:rsid w:val="00C7055C"/>
    <w:rsid w:val="00C72E00"/>
    <w:rsid w:val="00C73F69"/>
    <w:rsid w:val="00C777EB"/>
    <w:rsid w:val="00C90733"/>
    <w:rsid w:val="00C945E0"/>
    <w:rsid w:val="00C94F46"/>
    <w:rsid w:val="00CA3FE3"/>
    <w:rsid w:val="00CA439E"/>
    <w:rsid w:val="00CC2C86"/>
    <w:rsid w:val="00CC2FD1"/>
    <w:rsid w:val="00CC7199"/>
    <w:rsid w:val="00CD6BDD"/>
    <w:rsid w:val="00CE08FA"/>
    <w:rsid w:val="00CE2F84"/>
    <w:rsid w:val="00CE3C9B"/>
    <w:rsid w:val="00CE6C03"/>
    <w:rsid w:val="00CF2D92"/>
    <w:rsid w:val="00CF3901"/>
    <w:rsid w:val="00CF6FD0"/>
    <w:rsid w:val="00CF703B"/>
    <w:rsid w:val="00CF7D6E"/>
    <w:rsid w:val="00D06952"/>
    <w:rsid w:val="00D112C6"/>
    <w:rsid w:val="00D11593"/>
    <w:rsid w:val="00D12377"/>
    <w:rsid w:val="00D23C4B"/>
    <w:rsid w:val="00D2693A"/>
    <w:rsid w:val="00D44629"/>
    <w:rsid w:val="00D6207B"/>
    <w:rsid w:val="00D663F6"/>
    <w:rsid w:val="00D669BF"/>
    <w:rsid w:val="00D66A42"/>
    <w:rsid w:val="00D7577F"/>
    <w:rsid w:val="00D7633C"/>
    <w:rsid w:val="00D80AE2"/>
    <w:rsid w:val="00D913C8"/>
    <w:rsid w:val="00DA2433"/>
    <w:rsid w:val="00DA56EA"/>
    <w:rsid w:val="00DA7704"/>
    <w:rsid w:val="00DE3A9E"/>
    <w:rsid w:val="00DE4CDD"/>
    <w:rsid w:val="00DF669F"/>
    <w:rsid w:val="00E02291"/>
    <w:rsid w:val="00E046FB"/>
    <w:rsid w:val="00E11868"/>
    <w:rsid w:val="00E13F6C"/>
    <w:rsid w:val="00E1745B"/>
    <w:rsid w:val="00E17904"/>
    <w:rsid w:val="00E362EE"/>
    <w:rsid w:val="00E46F44"/>
    <w:rsid w:val="00E5271C"/>
    <w:rsid w:val="00E55A9F"/>
    <w:rsid w:val="00E57EA9"/>
    <w:rsid w:val="00E6274C"/>
    <w:rsid w:val="00E627C2"/>
    <w:rsid w:val="00E77902"/>
    <w:rsid w:val="00E90AA1"/>
    <w:rsid w:val="00E916A1"/>
    <w:rsid w:val="00E9313F"/>
    <w:rsid w:val="00E95654"/>
    <w:rsid w:val="00E96D6D"/>
    <w:rsid w:val="00EA387B"/>
    <w:rsid w:val="00EA4521"/>
    <w:rsid w:val="00EC42A7"/>
    <w:rsid w:val="00ED4426"/>
    <w:rsid w:val="00ED6008"/>
    <w:rsid w:val="00EE4597"/>
    <w:rsid w:val="00EF2E04"/>
    <w:rsid w:val="00EF33D4"/>
    <w:rsid w:val="00EF763B"/>
    <w:rsid w:val="00F03FA6"/>
    <w:rsid w:val="00F049DE"/>
    <w:rsid w:val="00F1308A"/>
    <w:rsid w:val="00F204FD"/>
    <w:rsid w:val="00F24720"/>
    <w:rsid w:val="00F31F72"/>
    <w:rsid w:val="00F366D3"/>
    <w:rsid w:val="00F36ED8"/>
    <w:rsid w:val="00F418CE"/>
    <w:rsid w:val="00F45458"/>
    <w:rsid w:val="00F463CD"/>
    <w:rsid w:val="00F52C48"/>
    <w:rsid w:val="00F53365"/>
    <w:rsid w:val="00F5652A"/>
    <w:rsid w:val="00F642F2"/>
    <w:rsid w:val="00F64D8F"/>
    <w:rsid w:val="00F666D9"/>
    <w:rsid w:val="00F679B6"/>
    <w:rsid w:val="00F70387"/>
    <w:rsid w:val="00F70F27"/>
    <w:rsid w:val="00F71BFD"/>
    <w:rsid w:val="00F73008"/>
    <w:rsid w:val="00F82BF4"/>
    <w:rsid w:val="00F86B8C"/>
    <w:rsid w:val="00F91071"/>
    <w:rsid w:val="00F93114"/>
    <w:rsid w:val="00FB0BC5"/>
    <w:rsid w:val="00FB1BD0"/>
    <w:rsid w:val="00FB510D"/>
    <w:rsid w:val="00FB68F3"/>
    <w:rsid w:val="00FC37AB"/>
    <w:rsid w:val="00FC4B86"/>
    <w:rsid w:val="00FD4623"/>
    <w:rsid w:val="00FD744C"/>
    <w:rsid w:val="00FE439D"/>
    <w:rsid w:val="00FE534B"/>
    <w:rsid w:val="00FF0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8179"/>
  <w15:chartTrackingRefBased/>
  <w15:docId w15:val="{98B00BE7-40A2-4FBC-A59E-9B83CB1E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93"/>
  </w:style>
  <w:style w:type="paragraph" w:styleId="Heading1">
    <w:name w:val="heading 1"/>
    <w:basedOn w:val="Normal"/>
    <w:next w:val="Normal"/>
    <w:link w:val="Heading1Char"/>
    <w:uiPriority w:val="9"/>
    <w:qFormat/>
    <w:rsid w:val="008D6E9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E93"/>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D6E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D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93"/>
  </w:style>
  <w:style w:type="paragraph" w:styleId="Footer">
    <w:name w:val="footer"/>
    <w:basedOn w:val="Normal"/>
    <w:link w:val="FooterChar"/>
    <w:uiPriority w:val="99"/>
    <w:unhideWhenUsed/>
    <w:rsid w:val="008D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93"/>
  </w:style>
  <w:style w:type="character" w:styleId="Hyperlink">
    <w:name w:val="Hyperlink"/>
    <w:basedOn w:val="DefaultParagraphFont"/>
    <w:uiPriority w:val="99"/>
    <w:unhideWhenUsed/>
    <w:rsid w:val="008D6E93"/>
    <w:rPr>
      <w:color w:val="0000FF"/>
      <w:u w:val="single"/>
    </w:rPr>
  </w:style>
  <w:style w:type="character" w:styleId="Emphasis">
    <w:name w:val="Emphasis"/>
    <w:basedOn w:val="DefaultParagraphFont"/>
    <w:uiPriority w:val="20"/>
    <w:qFormat/>
    <w:rsid w:val="008D6E93"/>
    <w:rPr>
      <w:i/>
      <w:iCs/>
    </w:rPr>
  </w:style>
  <w:style w:type="character" w:styleId="SubtleEmphasis">
    <w:name w:val="Subtle Emphasis"/>
    <w:basedOn w:val="DefaultParagraphFont"/>
    <w:uiPriority w:val="19"/>
    <w:qFormat/>
    <w:rsid w:val="008D6E93"/>
    <w:rPr>
      <w:i/>
      <w:iCs/>
      <w:color w:val="404040" w:themeColor="text1" w:themeTint="BF"/>
    </w:rPr>
  </w:style>
  <w:style w:type="paragraph" w:styleId="BalloonText">
    <w:name w:val="Balloon Text"/>
    <w:basedOn w:val="Normal"/>
    <w:link w:val="BalloonTextChar"/>
    <w:uiPriority w:val="99"/>
    <w:semiHidden/>
    <w:unhideWhenUsed/>
    <w:rsid w:val="008D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93"/>
    <w:rPr>
      <w:rFonts w:ascii="Segoe UI" w:hAnsi="Segoe UI" w:cs="Segoe UI"/>
      <w:sz w:val="18"/>
      <w:szCs w:val="18"/>
    </w:rPr>
  </w:style>
  <w:style w:type="character" w:customStyle="1" w:styleId="UnresolvedMention1">
    <w:name w:val="Unresolved Mention1"/>
    <w:basedOn w:val="DefaultParagraphFont"/>
    <w:uiPriority w:val="99"/>
    <w:semiHidden/>
    <w:unhideWhenUsed/>
    <w:rsid w:val="008D6E93"/>
    <w:rPr>
      <w:color w:val="605E5C"/>
      <w:shd w:val="clear" w:color="auto" w:fill="E1DFDD"/>
    </w:rPr>
  </w:style>
  <w:style w:type="paragraph" w:styleId="ListParagraph">
    <w:name w:val="List Paragraph"/>
    <w:basedOn w:val="Normal"/>
    <w:uiPriority w:val="34"/>
    <w:qFormat/>
    <w:rsid w:val="008D6E93"/>
    <w:pPr>
      <w:ind w:left="720"/>
      <w:contextualSpacing/>
    </w:pPr>
  </w:style>
  <w:style w:type="character" w:customStyle="1" w:styleId="UnresolvedMention2">
    <w:name w:val="Unresolved Mention2"/>
    <w:basedOn w:val="DefaultParagraphFont"/>
    <w:uiPriority w:val="99"/>
    <w:semiHidden/>
    <w:unhideWhenUsed/>
    <w:rsid w:val="008D6E93"/>
    <w:rPr>
      <w:color w:val="605E5C"/>
      <w:shd w:val="clear" w:color="auto" w:fill="E1DFDD"/>
    </w:rPr>
  </w:style>
  <w:style w:type="character" w:customStyle="1" w:styleId="normaltextrun">
    <w:name w:val="normaltextrun"/>
    <w:basedOn w:val="DefaultParagraphFont"/>
    <w:rsid w:val="008D6E93"/>
  </w:style>
  <w:style w:type="character" w:customStyle="1" w:styleId="spellingerror">
    <w:name w:val="spellingerror"/>
    <w:basedOn w:val="DefaultParagraphFont"/>
    <w:rsid w:val="008D6E93"/>
  </w:style>
  <w:style w:type="character" w:customStyle="1" w:styleId="eop">
    <w:name w:val="eop"/>
    <w:basedOn w:val="DefaultParagraphFont"/>
    <w:rsid w:val="008D6E93"/>
  </w:style>
  <w:style w:type="character" w:styleId="CommentReference">
    <w:name w:val="annotation reference"/>
    <w:basedOn w:val="DefaultParagraphFont"/>
    <w:uiPriority w:val="99"/>
    <w:semiHidden/>
    <w:unhideWhenUsed/>
    <w:rsid w:val="0014307A"/>
    <w:rPr>
      <w:sz w:val="16"/>
      <w:szCs w:val="16"/>
    </w:rPr>
  </w:style>
  <w:style w:type="paragraph" w:styleId="CommentText">
    <w:name w:val="annotation text"/>
    <w:basedOn w:val="Normal"/>
    <w:link w:val="CommentTextChar"/>
    <w:uiPriority w:val="99"/>
    <w:semiHidden/>
    <w:unhideWhenUsed/>
    <w:rsid w:val="0014307A"/>
    <w:pPr>
      <w:spacing w:line="240" w:lineRule="auto"/>
    </w:pPr>
    <w:rPr>
      <w:sz w:val="20"/>
      <w:szCs w:val="20"/>
    </w:rPr>
  </w:style>
  <w:style w:type="character" w:customStyle="1" w:styleId="CommentTextChar">
    <w:name w:val="Comment Text Char"/>
    <w:basedOn w:val="DefaultParagraphFont"/>
    <w:link w:val="CommentText"/>
    <w:uiPriority w:val="99"/>
    <w:semiHidden/>
    <w:rsid w:val="0014307A"/>
    <w:rPr>
      <w:sz w:val="20"/>
      <w:szCs w:val="20"/>
    </w:rPr>
  </w:style>
  <w:style w:type="paragraph" w:styleId="CommentSubject">
    <w:name w:val="annotation subject"/>
    <w:basedOn w:val="CommentText"/>
    <w:next w:val="CommentText"/>
    <w:link w:val="CommentSubjectChar"/>
    <w:uiPriority w:val="99"/>
    <w:semiHidden/>
    <w:unhideWhenUsed/>
    <w:rsid w:val="0014307A"/>
    <w:rPr>
      <w:b/>
      <w:bCs/>
    </w:rPr>
  </w:style>
  <w:style w:type="character" w:customStyle="1" w:styleId="CommentSubjectChar">
    <w:name w:val="Comment Subject Char"/>
    <w:basedOn w:val="CommentTextChar"/>
    <w:link w:val="CommentSubject"/>
    <w:uiPriority w:val="99"/>
    <w:semiHidden/>
    <w:rsid w:val="0014307A"/>
    <w:rPr>
      <w:b/>
      <w:bCs/>
      <w:sz w:val="20"/>
      <w:szCs w:val="20"/>
    </w:rPr>
  </w:style>
  <w:style w:type="character" w:customStyle="1" w:styleId="UnresolvedMention3">
    <w:name w:val="Unresolved Mention3"/>
    <w:basedOn w:val="DefaultParagraphFont"/>
    <w:uiPriority w:val="99"/>
    <w:semiHidden/>
    <w:unhideWhenUsed/>
    <w:rsid w:val="009060E7"/>
    <w:rPr>
      <w:color w:val="605E5C"/>
      <w:shd w:val="clear" w:color="auto" w:fill="E1DFDD"/>
    </w:rPr>
  </w:style>
  <w:style w:type="paragraph" w:customStyle="1" w:styleId="msonormal0">
    <w:name w:val="msonormal"/>
    <w:basedOn w:val="Normal"/>
    <w:rsid w:val="00EA38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EA387B"/>
    <w:rPr>
      <w:i/>
      <w:iCs/>
    </w:rPr>
  </w:style>
  <w:style w:type="character" w:customStyle="1" w:styleId="UnresolvedMention4">
    <w:name w:val="Unresolved Mention4"/>
    <w:basedOn w:val="DefaultParagraphFont"/>
    <w:uiPriority w:val="99"/>
    <w:semiHidden/>
    <w:unhideWhenUsed/>
    <w:rsid w:val="00065A20"/>
    <w:rPr>
      <w:color w:val="605E5C"/>
      <w:shd w:val="clear" w:color="auto" w:fill="E1DFDD"/>
    </w:rPr>
  </w:style>
  <w:style w:type="character" w:styleId="LineNumber">
    <w:name w:val="line number"/>
    <w:basedOn w:val="DefaultParagraphFont"/>
    <w:uiPriority w:val="99"/>
    <w:semiHidden/>
    <w:unhideWhenUsed/>
    <w:rsid w:val="003E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040">
      <w:bodyDiv w:val="1"/>
      <w:marLeft w:val="0"/>
      <w:marRight w:val="0"/>
      <w:marTop w:val="0"/>
      <w:marBottom w:val="0"/>
      <w:divBdr>
        <w:top w:val="none" w:sz="0" w:space="0" w:color="auto"/>
        <w:left w:val="none" w:sz="0" w:space="0" w:color="auto"/>
        <w:bottom w:val="none" w:sz="0" w:space="0" w:color="auto"/>
        <w:right w:val="none" w:sz="0" w:space="0" w:color="auto"/>
      </w:divBdr>
      <w:divsChild>
        <w:div w:id="2125299647">
          <w:marLeft w:val="0"/>
          <w:marRight w:val="0"/>
          <w:marTop w:val="0"/>
          <w:marBottom w:val="0"/>
          <w:divBdr>
            <w:top w:val="none" w:sz="0" w:space="0" w:color="auto"/>
            <w:left w:val="none" w:sz="0" w:space="0" w:color="auto"/>
            <w:bottom w:val="none" w:sz="0" w:space="0" w:color="auto"/>
            <w:right w:val="none" w:sz="0" w:space="0" w:color="auto"/>
          </w:divBdr>
          <w:divsChild>
            <w:div w:id="940376384">
              <w:marLeft w:val="0"/>
              <w:marRight w:val="0"/>
              <w:marTop w:val="0"/>
              <w:marBottom w:val="0"/>
              <w:divBdr>
                <w:top w:val="none" w:sz="0" w:space="0" w:color="auto"/>
                <w:left w:val="none" w:sz="0" w:space="0" w:color="auto"/>
                <w:bottom w:val="none" w:sz="0" w:space="0" w:color="auto"/>
                <w:right w:val="none" w:sz="0" w:space="0" w:color="auto"/>
              </w:divBdr>
              <w:divsChild>
                <w:div w:id="476578344">
                  <w:marLeft w:val="0"/>
                  <w:marRight w:val="0"/>
                  <w:marTop w:val="0"/>
                  <w:marBottom w:val="0"/>
                  <w:divBdr>
                    <w:top w:val="none" w:sz="0" w:space="0" w:color="auto"/>
                    <w:left w:val="none" w:sz="0" w:space="0" w:color="auto"/>
                    <w:bottom w:val="none" w:sz="0" w:space="0" w:color="auto"/>
                    <w:right w:val="none" w:sz="0" w:space="0" w:color="auto"/>
                  </w:divBdr>
                  <w:divsChild>
                    <w:div w:id="17168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8626">
      <w:bodyDiv w:val="1"/>
      <w:marLeft w:val="0"/>
      <w:marRight w:val="0"/>
      <w:marTop w:val="0"/>
      <w:marBottom w:val="0"/>
      <w:divBdr>
        <w:top w:val="none" w:sz="0" w:space="0" w:color="auto"/>
        <w:left w:val="none" w:sz="0" w:space="0" w:color="auto"/>
        <w:bottom w:val="none" w:sz="0" w:space="0" w:color="auto"/>
        <w:right w:val="none" w:sz="0" w:space="0" w:color="auto"/>
      </w:divBdr>
      <w:divsChild>
        <w:div w:id="1562210098">
          <w:marLeft w:val="0"/>
          <w:marRight w:val="0"/>
          <w:marTop w:val="0"/>
          <w:marBottom w:val="0"/>
          <w:divBdr>
            <w:top w:val="none" w:sz="0" w:space="0" w:color="auto"/>
            <w:left w:val="none" w:sz="0" w:space="0" w:color="auto"/>
            <w:bottom w:val="none" w:sz="0" w:space="0" w:color="auto"/>
            <w:right w:val="none" w:sz="0" w:space="0" w:color="auto"/>
          </w:divBdr>
        </w:div>
      </w:divsChild>
    </w:div>
    <w:div w:id="415051348">
      <w:bodyDiv w:val="1"/>
      <w:marLeft w:val="0"/>
      <w:marRight w:val="0"/>
      <w:marTop w:val="0"/>
      <w:marBottom w:val="0"/>
      <w:divBdr>
        <w:top w:val="none" w:sz="0" w:space="0" w:color="auto"/>
        <w:left w:val="none" w:sz="0" w:space="0" w:color="auto"/>
        <w:bottom w:val="none" w:sz="0" w:space="0" w:color="auto"/>
        <w:right w:val="none" w:sz="0" w:space="0" w:color="auto"/>
      </w:divBdr>
    </w:div>
    <w:div w:id="471094632">
      <w:bodyDiv w:val="1"/>
      <w:marLeft w:val="0"/>
      <w:marRight w:val="0"/>
      <w:marTop w:val="0"/>
      <w:marBottom w:val="0"/>
      <w:divBdr>
        <w:top w:val="none" w:sz="0" w:space="0" w:color="auto"/>
        <w:left w:val="none" w:sz="0" w:space="0" w:color="auto"/>
        <w:bottom w:val="none" w:sz="0" w:space="0" w:color="auto"/>
        <w:right w:val="none" w:sz="0" w:space="0" w:color="auto"/>
      </w:divBdr>
      <w:divsChild>
        <w:div w:id="1852185349">
          <w:marLeft w:val="0"/>
          <w:marRight w:val="0"/>
          <w:marTop w:val="0"/>
          <w:marBottom w:val="0"/>
          <w:divBdr>
            <w:top w:val="none" w:sz="0" w:space="0" w:color="auto"/>
            <w:left w:val="none" w:sz="0" w:space="0" w:color="auto"/>
            <w:bottom w:val="none" w:sz="0" w:space="0" w:color="auto"/>
            <w:right w:val="none" w:sz="0" w:space="0" w:color="auto"/>
          </w:divBdr>
        </w:div>
      </w:divsChild>
    </w:div>
    <w:div w:id="814179740">
      <w:bodyDiv w:val="1"/>
      <w:marLeft w:val="0"/>
      <w:marRight w:val="0"/>
      <w:marTop w:val="0"/>
      <w:marBottom w:val="0"/>
      <w:divBdr>
        <w:top w:val="none" w:sz="0" w:space="0" w:color="auto"/>
        <w:left w:val="none" w:sz="0" w:space="0" w:color="auto"/>
        <w:bottom w:val="none" w:sz="0" w:space="0" w:color="auto"/>
        <w:right w:val="none" w:sz="0" w:space="0" w:color="auto"/>
      </w:divBdr>
    </w:div>
    <w:div w:id="1065831776">
      <w:bodyDiv w:val="1"/>
      <w:marLeft w:val="0"/>
      <w:marRight w:val="0"/>
      <w:marTop w:val="0"/>
      <w:marBottom w:val="0"/>
      <w:divBdr>
        <w:top w:val="none" w:sz="0" w:space="0" w:color="auto"/>
        <w:left w:val="none" w:sz="0" w:space="0" w:color="auto"/>
        <w:bottom w:val="none" w:sz="0" w:space="0" w:color="auto"/>
        <w:right w:val="none" w:sz="0" w:space="0" w:color="auto"/>
      </w:divBdr>
      <w:divsChild>
        <w:div w:id="1133674043">
          <w:marLeft w:val="0"/>
          <w:marRight w:val="0"/>
          <w:marTop w:val="0"/>
          <w:marBottom w:val="0"/>
          <w:divBdr>
            <w:top w:val="none" w:sz="0" w:space="0" w:color="auto"/>
            <w:left w:val="none" w:sz="0" w:space="0" w:color="auto"/>
            <w:bottom w:val="none" w:sz="0" w:space="0" w:color="auto"/>
            <w:right w:val="none" w:sz="0" w:space="0" w:color="auto"/>
          </w:divBdr>
          <w:divsChild>
            <w:div w:id="89670492">
              <w:marLeft w:val="0"/>
              <w:marRight w:val="0"/>
              <w:marTop w:val="0"/>
              <w:marBottom w:val="0"/>
              <w:divBdr>
                <w:top w:val="none" w:sz="0" w:space="0" w:color="auto"/>
                <w:left w:val="none" w:sz="0" w:space="0" w:color="auto"/>
                <w:bottom w:val="none" w:sz="0" w:space="0" w:color="auto"/>
                <w:right w:val="none" w:sz="0" w:space="0" w:color="auto"/>
              </w:divBdr>
              <w:divsChild>
                <w:div w:id="998264834">
                  <w:marLeft w:val="0"/>
                  <w:marRight w:val="0"/>
                  <w:marTop w:val="0"/>
                  <w:marBottom w:val="0"/>
                  <w:divBdr>
                    <w:top w:val="none" w:sz="0" w:space="0" w:color="auto"/>
                    <w:left w:val="none" w:sz="0" w:space="0" w:color="auto"/>
                    <w:bottom w:val="none" w:sz="0" w:space="0" w:color="auto"/>
                    <w:right w:val="none" w:sz="0" w:space="0" w:color="auto"/>
                  </w:divBdr>
                  <w:divsChild>
                    <w:div w:id="10498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4219">
      <w:bodyDiv w:val="1"/>
      <w:marLeft w:val="0"/>
      <w:marRight w:val="0"/>
      <w:marTop w:val="0"/>
      <w:marBottom w:val="0"/>
      <w:divBdr>
        <w:top w:val="none" w:sz="0" w:space="0" w:color="auto"/>
        <w:left w:val="none" w:sz="0" w:space="0" w:color="auto"/>
        <w:bottom w:val="none" w:sz="0" w:space="0" w:color="auto"/>
        <w:right w:val="none" w:sz="0" w:space="0" w:color="auto"/>
      </w:divBdr>
    </w:div>
    <w:div w:id="2114738026">
      <w:bodyDiv w:val="1"/>
      <w:marLeft w:val="0"/>
      <w:marRight w:val="0"/>
      <w:marTop w:val="0"/>
      <w:marBottom w:val="0"/>
      <w:divBdr>
        <w:top w:val="none" w:sz="0" w:space="0" w:color="auto"/>
        <w:left w:val="none" w:sz="0" w:space="0" w:color="auto"/>
        <w:bottom w:val="none" w:sz="0" w:space="0" w:color="auto"/>
        <w:right w:val="none" w:sz="0" w:space="0" w:color="auto"/>
      </w:divBdr>
      <w:divsChild>
        <w:div w:id="243029061">
          <w:marLeft w:val="0"/>
          <w:marRight w:val="0"/>
          <w:marTop w:val="0"/>
          <w:marBottom w:val="0"/>
          <w:divBdr>
            <w:top w:val="none" w:sz="0" w:space="0" w:color="auto"/>
            <w:left w:val="none" w:sz="0" w:space="0" w:color="auto"/>
            <w:bottom w:val="none" w:sz="0" w:space="0" w:color="auto"/>
            <w:right w:val="none" w:sz="0" w:space="0" w:color="auto"/>
          </w:divBdr>
          <w:divsChild>
            <w:div w:id="1330519896">
              <w:marLeft w:val="0"/>
              <w:marRight w:val="0"/>
              <w:marTop w:val="0"/>
              <w:marBottom w:val="0"/>
              <w:divBdr>
                <w:top w:val="none" w:sz="0" w:space="0" w:color="auto"/>
                <w:left w:val="none" w:sz="0" w:space="0" w:color="auto"/>
                <w:bottom w:val="none" w:sz="0" w:space="0" w:color="auto"/>
                <w:right w:val="none" w:sz="0" w:space="0" w:color="auto"/>
              </w:divBdr>
              <w:divsChild>
                <w:div w:id="1164122025">
                  <w:marLeft w:val="0"/>
                  <w:marRight w:val="0"/>
                  <w:marTop w:val="0"/>
                  <w:marBottom w:val="0"/>
                  <w:divBdr>
                    <w:top w:val="none" w:sz="0" w:space="0" w:color="auto"/>
                    <w:left w:val="none" w:sz="0" w:space="0" w:color="auto"/>
                    <w:bottom w:val="none" w:sz="0" w:space="0" w:color="auto"/>
                    <w:right w:val="none" w:sz="0" w:space="0" w:color="auto"/>
                  </w:divBdr>
                  <w:divsChild>
                    <w:div w:id="632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B3EEFB0DE3744881775F27D19A8CB" ma:contentTypeVersion="13" ma:contentTypeDescription="Create a new document." ma:contentTypeScope="" ma:versionID="1dca9f3c1c541c45ec4698f2657e07e6">
  <xsd:schema xmlns:xsd="http://www.w3.org/2001/XMLSchema" xmlns:xs="http://www.w3.org/2001/XMLSchema" xmlns:p="http://schemas.microsoft.com/office/2006/metadata/properties" xmlns:ns3="c3bb6145-c48a-49da-b4a8-b7fff243bb4f" xmlns:ns4="a9f83df8-8eea-4f98-b597-b375179789f9" targetNamespace="http://schemas.microsoft.com/office/2006/metadata/properties" ma:root="true" ma:fieldsID="1304e64418d9752469b215249bef28a9" ns3:_="" ns4:_="">
    <xsd:import namespace="c3bb6145-c48a-49da-b4a8-b7fff243bb4f"/>
    <xsd:import namespace="a9f83df8-8eea-4f98-b597-b375179789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6145-c48a-49da-b4a8-b7fff243bb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83df8-8eea-4f98-b597-b375179789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30BA905-64F1-4350-8983-A9BB18493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B4AD3-AC04-41B5-A190-1E479FDA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6145-c48a-49da-b4a8-b7fff243bb4f"/>
    <ds:schemaRef ds:uri="a9f83df8-8eea-4f98-b597-b37517978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9F072-364F-4830-B308-1AE5B826717A}">
  <ds:schemaRefs>
    <ds:schemaRef ds:uri="http://schemas.microsoft.com/sharepoint/v3/contenttype/forms"/>
  </ds:schemaRefs>
</ds:datastoreItem>
</file>

<file path=customXml/itemProps4.xml><?xml version="1.0" encoding="utf-8"?>
<ds:datastoreItem xmlns:ds="http://schemas.openxmlformats.org/officeDocument/2006/customXml" ds:itemID="{12BC4100-96CE-4DB9-A976-FE5CC7EA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Mohammed Chohan</dc:creator>
  <cp:keywords/>
  <dc:description/>
  <cp:lastModifiedBy>Andrew Foey</cp:lastModifiedBy>
  <cp:revision>8</cp:revision>
  <dcterms:created xsi:type="dcterms:W3CDTF">2023-02-10T11:53:00Z</dcterms:created>
  <dcterms:modified xsi:type="dcterms:W3CDTF">2023-02-17T16:59:00Z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0x010100EF7B3EEFB0DE3744881775F27D19A8CB</vt:lpwstr>
  </property>
</Properties>
</file>